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97215" w14:textId="77777777" w:rsidR="0013301C" w:rsidRPr="00DC488F" w:rsidRDefault="0013301C" w:rsidP="00C17A21">
      <w:pPr>
        <w:spacing w:after="0" w:line="264" w:lineRule="auto"/>
        <w:ind w:left="1418" w:hanging="1418"/>
        <w:jc w:val="both"/>
        <w:rPr>
          <w:rFonts w:ascii="Calibri" w:eastAsia="Times New Roman" w:hAnsi="Calibri" w:cs="Calibri"/>
          <w:bCs/>
          <w:lang w:eastAsia="fr-FR"/>
        </w:rPr>
      </w:pPr>
      <w:r w:rsidRPr="00DC488F">
        <w:rPr>
          <w:rFonts w:ascii="Calibri" w:eastAsia="Times New Roman" w:hAnsi="Calibri" w:cs="Calibri"/>
          <w:bCs/>
          <w:lang w:eastAsia="fr-FR"/>
        </w:rPr>
        <w:t>PROVINCE DE QUÉBEC</w:t>
      </w:r>
    </w:p>
    <w:p w14:paraId="17BA414F" w14:textId="77777777" w:rsidR="0013301C" w:rsidRPr="00DC488F" w:rsidRDefault="0013301C" w:rsidP="00C17A21">
      <w:pPr>
        <w:spacing w:after="0" w:line="264" w:lineRule="auto"/>
        <w:ind w:left="1418" w:hanging="1418"/>
        <w:jc w:val="both"/>
        <w:rPr>
          <w:rFonts w:ascii="Calibri" w:eastAsia="Times New Roman" w:hAnsi="Calibri" w:cs="Calibri"/>
          <w:bCs/>
          <w:lang w:eastAsia="fr-FR"/>
        </w:rPr>
      </w:pPr>
      <w:r w:rsidRPr="00DC488F">
        <w:rPr>
          <w:rFonts w:ascii="Calibri" w:eastAsia="Times New Roman" w:hAnsi="Calibri" w:cs="Calibri"/>
          <w:bCs/>
          <w:lang w:eastAsia="fr-FR"/>
        </w:rPr>
        <w:t>MRC D’ARGENTEUIL</w:t>
      </w:r>
    </w:p>
    <w:p w14:paraId="5F683795" w14:textId="77777777" w:rsidR="0013301C" w:rsidRPr="00DC488F" w:rsidRDefault="0013301C" w:rsidP="00C17A21">
      <w:pPr>
        <w:spacing w:after="0" w:line="264" w:lineRule="auto"/>
        <w:ind w:left="1418" w:hanging="1418"/>
        <w:jc w:val="both"/>
        <w:rPr>
          <w:rFonts w:ascii="Calibri" w:eastAsia="Times New Roman" w:hAnsi="Calibri" w:cs="Calibri"/>
          <w:bCs/>
          <w:lang w:eastAsia="fr-FR"/>
        </w:rPr>
      </w:pPr>
      <w:r w:rsidRPr="00DC488F">
        <w:rPr>
          <w:rFonts w:ascii="Calibri" w:eastAsia="Times New Roman" w:hAnsi="Calibri" w:cs="Calibri"/>
          <w:bCs/>
          <w:lang w:eastAsia="fr-FR"/>
        </w:rPr>
        <w:t>MUNICPALITÉ DE GRENVILLE-SUR-LA-ROUGE</w:t>
      </w:r>
    </w:p>
    <w:p w14:paraId="3C293EB3" w14:textId="77777777" w:rsidR="0013301C" w:rsidRPr="00DC488F" w:rsidRDefault="0013301C" w:rsidP="00C17A21">
      <w:pPr>
        <w:spacing w:line="264" w:lineRule="auto"/>
        <w:rPr>
          <w:rFonts w:ascii="Calibri" w:hAnsi="Calibri" w:cs="Calibri"/>
        </w:rPr>
      </w:pPr>
    </w:p>
    <w:p w14:paraId="15571E44" w14:textId="71FA1F82" w:rsidR="0013301C" w:rsidRPr="00DC488F" w:rsidRDefault="0013301C" w:rsidP="00C17A21">
      <w:pPr>
        <w:spacing w:after="0" w:line="264" w:lineRule="auto"/>
        <w:jc w:val="both"/>
        <w:rPr>
          <w:rFonts w:ascii="Calibri" w:hAnsi="Calibri" w:cs="Calibri"/>
          <w:b/>
          <w:bCs/>
          <w:u w:val="single"/>
        </w:rPr>
      </w:pPr>
      <w:r w:rsidRPr="00DC488F">
        <w:rPr>
          <w:rFonts w:ascii="Calibri" w:hAnsi="Calibri" w:cs="Calibri"/>
          <w:b/>
          <w:bCs/>
          <w:u w:val="single"/>
        </w:rPr>
        <w:t xml:space="preserve">RÈGLEMENT NUMÉRO </w:t>
      </w:r>
      <w:r w:rsidR="0027737F" w:rsidRPr="00DC488F">
        <w:rPr>
          <w:rFonts w:ascii="Calibri" w:hAnsi="Calibri" w:cs="Calibri"/>
          <w:b/>
          <w:bCs/>
          <w:u w:val="single"/>
        </w:rPr>
        <w:t>RU-958-06-2024</w:t>
      </w:r>
    </w:p>
    <w:p w14:paraId="7CF28392" w14:textId="77777777" w:rsidR="0013301C" w:rsidRPr="00DC488F" w:rsidRDefault="0013301C" w:rsidP="00C17A21">
      <w:pPr>
        <w:spacing w:after="0" w:line="264" w:lineRule="auto"/>
        <w:jc w:val="both"/>
        <w:rPr>
          <w:rFonts w:ascii="Calibri" w:hAnsi="Calibri" w:cs="Calibri"/>
          <w:b/>
          <w:bCs/>
          <w:u w:val="single"/>
        </w:rPr>
      </w:pPr>
    </w:p>
    <w:p w14:paraId="4A30C3E2" w14:textId="229576B0" w:rsidR="0013301C" w:rsidRPr="00DC488F" w:rsidRDefault="0013301C" w:rsidP="00C17A21">
      <w:pPr>
        <w:spacing w:after="0" w:line="264" w:lineRule="auto"/>
        <w:jc w:val="both"/>
        <w:rPr>
          <w:rFonts w:ascii="Calibri" w:hAnsi="Calibri" w:cs="Calibri"/>
          <w:b/>
          <w:bCs/>
        </w:rPr>
      </w:pPr>
      <w:r w:rsidRPr="00DC488F">
        <w:rPr>
          <w:rFonts w:ascii="Calibri" w:hAnsi="Calibri" w:cs="Calibri"/>
          <w:b/>
          <w:bCs/>
        </w:rPr>
        <w:t xml:space="preserve">RÈGLEMENT </w:t>
      </w:r>
      <w:bookmarkStart w:id="0" w:name="_Hlk170216271"/>
      <w:r w:rsidRPr="00DC488F">
        <w:rPr>
          <w:rFonts w:ascii="Calibri" w:hAnsi="Calibri" w:cs="Calibri"/>
          <w:b/>
          <w:bCs/>
        </w:rPr>
        <w:t>MODIFIANT LE RÈGLEMENT DE LOTISSEMENT NUMÉRO RU-90</w:t>
      </w:r>
      <w:r w:rsidR="006765DF" w:rsidRPr="00DC488F">
        <w:rPr>
          <w:rFonts w:ascii="Calibri" w:hAnsi="Calibri" w:cs="Calibri"/>
          <w:b/>
          <w:bCs/>
        </w:rPr>
        <w:t>3</w:t>
      </w:r>
      <w:r w:rsidRPr="00DC488F">
        <w:rPr>
          <w:rFonts w:ascii="Calibri" w:hAnsi="Calibri" w:cs="Calibri"/>
          <w:b/>
          <w:bCs/>
        </w:rPr>
        <w:t>-201</w:t>
      </w:r>
      <w:r w:rsidR="006765DF" w:rsidRPr="00DC488F">
        <w:rPr>
          <w:rFonts w:ascii="Calibri" w:hAnsi="Calibri" w:cs="Calibri"/>
          <w:b/>
          <w:bCs/>
        </w:rPr>
        <w:t>4</w:t>
      </w:r>
      <w:r w:rsidRPr="00DC488F">
        <w:rPr>
          <w:rFonts w:ascii="Calibri" w:hAnsi="Calibri" w:cs="Calibri"/>
          <w:b/>
          <w:bCs/>
        </w:rPr>
        <w:t xml:space="preserve"> AFIN DE MOD</w:t>
      </w:r>
      <w:r w:rsidR="006765DF" w:rsidRPr="00DC488F">
        <w:rPr>
          <w:rFonts w:ascii="Calibri" w:hAnsi="Calibri" w:cs="Calibri"/>
          <w:b/>
          <w:bCs/>
        </w:rPr>
        <w:t>IF</w:t>
      </w:r>
      <w:r w:rsidR="00515DCE" w:rsidRPr="00DC488F">
        <w:rPr>
          <w:rFonts w:ascii="Calibri" w:hAnsi="Calibri" w:cs="Calibri"/>
          <w:b/>
          <w:bCs/>
        </w:rPr>
        <w:t>I</w:t>
      </w:r>
      <w:r w:rsidR="006765DF" w:rsidRPr="00DC488F">
        <w:rPr>
          <w:rFonts w:ascii="Calibri" w:hAnsi="Calibri" w:cs="Calibri"/>
          <w:b/>
          <w:bCs/>
        </w:rPr>
        <w:t xml:space="preserve">ER LES OBLIGATIONS À L’ÉGARD DE LA CONTRIBUTION ET AU CALCUL DE LA VALEUR </w:t>
      </w:r>
    </w:p>
    <w:bookmarkEnd w:id="0"/>
    <w:p w14:paraId="4BD7A33F" w14:textId="77777777" w:rsidR="0013301C" w:rsidRPr="00DC488F" w:rsidRDefault="0013301C" w:rsidP="00C17A21">
      <w:pPr>
        <w:spacing w:after="0" w:line="264" w:lineRule="auto"/>
        <w:jc w:val="both"/>
        <w:rPr>
          <w:rFonts w:ascii="Calibri" w:hAnsi="Calibri" w:cs="Calibri"/>
          <w:b/>
          <w:bCs/>
        </w:rPr>
      </w:pPr>
    </w:p>
    <w:p w14:paraId="2A9E822D" w14:textId="4E86803D" w:rsidR="0013301C" w:rsidRPr="00DC488F" w:rsidRDefault="0013301C" w:rsidP="00C17A21">
      <w:pPr>
        <w:spacing w:after="0" w:line="264" w:lineRule="auto"/>
        <w:jc w:val="both"/>
        <w:rPr>
          <w:rFonts w:ascii="Calibri" w:eastAsia="Times New Roman" w:hAnsi="Calibri" w:cs="Calibri"/>
          <w:bCs/>
          <w:lang w:eastAsia="fr-FR"/>
        </w:rPr>
      </w:pPr>
      <w:r w:rsidRPr="00DC488F">
        <w:rPr>
          <w:rFonts w:ascii="Calibri" w:eastAsia="Times New Roman" w:hAnsi="Calibri" w:cs="Calibri"/>
          <w:bCs/>
          <w:lang w:eastAsia="fr-FR"/>
        </w:rPr>
        <w:t>ATTENDU que le conseil municipal de la municipalité de Grenville-sur-la-Rouge a adopté le Règlement de zonage numéro RU-</w:t>
      </w:r>
      <w:r w:rsidR="005F70E0" w:rsidRPr="00DC488F">
        <w:rPr>
          <w:rFonts w:ascii="Calibri" w:eastAsia="Times New Roman" w:hAnsi="Calibri" w:cs="Calibri"/>
          <w:bCs/>
          <w:lang w:eastAsia="fr-FR"/>
        </w:rPr>
        <w:t>901-02-2015;</w:t>
      </w:r>
    </w:p>
    <w:p w14:paraId="1DF4CD78" w14:textId="77777777" w:rsidR="0013301C" w:rsidRPr="00DC488F" w:rsidRDefault="0013301C" w:rsidP="00C17A21">
      <w:pPr>
        <w:spacing w:after="0" w:line="264" w:lineRule="auto"/>
        <w:jc w:val="both"/>
        <w:rPr>
          <w:rFonts w:ascii="Calibri" w:eastAsia="Times New Roman" w:hAnsi="Calibri" w:cs="Calibri"/>
          <w:bCs/>
          <w:lang w:eastAsia="fr-FR"/>
        </w:rPr>
      </w:pPr>
    </w:p>
    <w:p w14:paraId="537B3542" w14:textId="22CACEB1" w:rsidR="0013301C" w:rsidRPr="00DC488F" w:rsidRDefault="0013301C" w:rsidP="00C17A21">
      <w:pPr>
        <w:spacing w:after="0" w:line="264" w:lineRule="auto"/>
        <w:jc w:val="both"/>
        <w:rPr>
          <w:rFonts w:ascii="Calibri" w:eastAsia="Times New Roman" w:hAnsi="Calibri" w:cs="Calibri"/>
          <w:bCs/>
          <w:lang w:eastAsia="fr-FR"/>
        </w:rPr>
      </w:pPr>
      <w:r w:rsidRPr="00DC488F">
        <w:rPr>
          <w:rFonts w:ascii="Calibri" w:eastAsia="Times New Roman" w:hAnsi="Calibri" w:cs="Calibri"/>
          <w:bCs/>
          <w:lang w:eastAsia="fr-FR"/>
        </w:rPr>
        <w:t xml:space="preserve">ATTENDU que la municipalité de Grenville-sur-la-Rouge est régie par la Loi sur l’aménagement et l’urbanisme (L.R.Q., c. A-19.1) et que les articles du Règlement </w:t>
      </w:r>
      <w:r w:rsidR="009F267F" w:rsidRPr="00DC488F">
        <w:rPr>
          <w:rFonts w:ascii="Calibri" w:eastAsia="Times New Roman" w:hAnsi="Calibri" w:cs="Calibri"/>
          <w:bCs/>
          <w:lang w:eastAsia="fr-FR"/>
        </w:rPr>
        <w:t xml:space="preserve">DE LOTISSEMENT </w:t>
      </w:r>
      <w:r w:rsidRPr="00DC488F">
        <w:rPr>
          <w:rFonts w:ascii="Calibri" w:eastAsia="Times New Roman" w:hAnsi="Calibri" w:cs="Calibri"/>
          <w:bCs/>
          <w:lang w:eastAsia="fr-FR"/>
        </w:rPr>
        <w:t>no RU-</w:t>
      </w:r>
      <w:r w:rsidR="009F267F" w:rsidRPr="00DC488F">
        <w:rPr>
          <w:rFonts w:ascii="Calibri" w:eastAsia="Times New Roman" w:hAnsi="Calibri" w:cs="Calibri"/>
          <w:bCs/>
          <w:lang w:eastAsia="fr-FR"/>
        </w:rPr>
        <w:t>903</w:t>
      </w:r>
      <w:r w:rsidRPr="00DC488F">
        <w:rPr>
          <w:rFonts w:ascii="Calibri" w:eastAsia="Times New Roman" w:hAnsi="Calibri" w:cs="Calibri"/>
          <w:bCs/>
          <w:lang w:eastAsia="fr-FR"/>
        </w:rPr>
        <w:t>-201</w:t>
      </w:r>
      <w:r w:rsidR="009F267F" w:rsidRPr="00DC488F">
        <w:rPr>
          <w:rFonts w:ascii="Calibri" w:eastAsia="Times New Roman" w:hAnsi="Calibri" w:cs="Calibri"/>
          <w:bCs/>
          <w:lang w:eastAsia="fr-FR"/>
        </w:rPr>
        <w:t>4</w:t>
      </w:r>
      <w:r w:rsidRPr="00DC488F">
        <w:rPr>
          <w:rFonts w:ascii="Calibri" w:eastAsia="Times New Roman" w:hAnsi="Calibri" w:cs="Calibri"/>
          <w:bCs/>
          <w:lang w:eastAsia="fr-FR"/>
        </w:rPr>
        <w:t xml:space="preserve"> ne peuvent être modifiés que conformément aux dispositions de cette loi;</w:t>
      </w:r>
    </w:p>
    <w:p w14:paraId="38B6F573" w14:textId="77777777" w:rsidR="0013301C" w:rsidRPr="00DC488F" w:rsidRDefault="0013301C" w:rsidP="00C17A21">
      <w:pPr>
        <w:spacing w:after="0" w:line="264" w:lineRule="auto"/>
        <w:jc w:val="both"/>
        <w:rPr>
          <w:rFonts w:ascii="Calibri" w:eastAsia="Times New Roman" w:hAnsi="Calibri" w:cs="Calibri"/>
          <w:bCs/>
          <w:lang w:eastAsia="fr-FR"/>
        </w:rPr>
      </w:pPr>
    </w:p>
    <w:p w14:paraId="5DF319C3" w14:textId="12F1655A" w:rsidR="0013301C" w:rsidRPr="00DC488F" w:rsidRDefault="0013301C" w:rsidP="00C17A21">
      <w:pPr>
        <w:spacing w:after="0" w:line="264" w:lineRule="auto"/>
        <w:jc w:val="both"/>
        <w:rPr>
          <w:rFonts w:ascii="Calibri" w:eastAsia="Times New Roman" w:hAnsi="Calibri" w:cs="Calibri"/>
          <w:bCs/>
          <w:lang w:eastAsia="fr-FR"/>
        </w:rPr>
      </w:pPr>
      <w:r w:rsidRPr="00DC488F">
        <w:rPr>
          <w:rFonts w:ascii="Calibri" w:eastAsia="Times New Roman" w:hAnsi="Calibri" w:cs="Calibri"/>
          <w:bCs/>
          <w:lang w:eastAsia="fr-FR"/>
        </w:rPr>
        <w:t xml:space="preserve">ATTENDU que le projet de règlement a été adopté à la séance </w:t>
      </w:r>
      <w:bookmarkStart w:id="1" w:name="_Hlk170215984"/>
      <w:r w:rsidRPr="00DC488F">
        <w:rPr>
          <w:rFonts w:ascii="Calibri" w:eastAsia="Times New Roman" w:hAnsi="Calibri" w:cs="Calibri"/>
          <w:bCs/>
          <w:lang w:eastAsia="fr-FR"/>
        </w:rPr>
        <w:t xml:space="preserve">ordinaire du </w:t>
      </w:r>
      <w:r w:rsidR="005F70E0" w:rsidRPr="00DC488F">
        <w:rPr>
          <w:rFonts w:ascii="Calibri" w:eastAsia="Times New Roman" w:hAnsi="Calibri" w:cs="Calibri"/>
          <w:bCs/>
          <w:lang w:eastAsia="fr-FR"/>
        </w:rPr>
        <w:t>11 juin 2024;</w:t>
      </w:r>
    </w:p>
    <w:bookmarkEnd w:id="1"/>
    <w:p w14:paraId="523037A3" w14:textId="77777777" w:rsidR="0013301C" w:rsidRPr="00DC488F" w:rsidRDefault="0013301C" w:rsidP="00C17A21">
      <w:pPr>
        <w:spacing w:after="0" w:line="264" w:lineRule="auto"/>
        <w:jc w:val="both"/>
        <w:rPr>
          <w:rFonts w:ascii="Calibri" w:eastAsia="Times New Roman" w:hAnsi="Calibri" w:cs="Calibri"/>
          <w:bCs/>
          <w:lang w:eastAsia="fr-FR"/>
        </w:rPr>
      </w:pPr>
    </w:p>
    <w:p w14:paraId="1ED35457" w14:textId="517B3966" w:rsidR="0013301C" w:rsidRPr="00DC488F" w:rsidRDefault="0013301C" w:rsidP="00C17A21">
      <w:pPr>
        <w:spacing w:after="0" w:line="264" w:lineRule="auto"/>
        <w:jc w:val="both"/>
        <w:rPr>
          <w:rFonts w:ascii="Calibri" w:eastAsia="Times New Roman" w:hAnsi="Calibri" w:cs="Calibri"/>
          <w:bCs/>
          <w:lang w:eastAsia="fr-FR"/>
        </w:rPr>
      </w:pPr>
      <w:r w:rsidRPr="00DC488F">
        <w:rPr>
          <w:rFonts w:ascii="Calibri" w:eastAsia="Times New Roman" w:hAnsi="Calibri" w:cs="Calibri"/>
          <w:bCs/>
          <w:lang w:eastAsia="fr-FR"/>
        </w:rPr>
        <w:t xml:space="preserve">ATTENDU qu’un avis de motion pour la présentation du présent règlement a été donné conformément à la Loi, lors de la séance </w:t>
      </w:r>
      <w:r w:rsidR="000E6FCD" w:rsidRPr="00DC488F">
        <w:rPr>
          <w:rFonts w:ascii="Calibri" w:eastAsia="Times New Roman" w:hAnsi="Calibri" w:cs="Calibri"/>
          <w:bCs/>
          <w:lang w:eastAsia="fr-FR"/>
        </w:rPr>
        <w:t>ordinaire du 11 juin 2024;</w:t>
      </w:r>
    </w:p>
    <w:p w14:paraId="2C574534" w14:textId="77777777" w:rsidR="0013301C" w:rsidRPr="00DC488F" w:rsidRDefault="0013301C" w:rsidP="00C17A21">
      <w:pPr>
        <w:spacing w:after="0" w:line="264" w:lineRule="auto"/>
        <w:jc w:val="both"/>
        <w:rPr>
          <w:rFonts w:ascii="Calibri" w:eastAsia="Times New Roman" w:hAnsi="Calibri" w:cs="Calibri"/>
          <w:bCs/>
          <w:lang w:eastAsia="fr-FR"/>
        </w:rPr>
      </w:pPr>
    </w:p>
    <w:p w14:paraId="13E8725F" w14:textId="478E1CD9" w:rsidR="000E6FCD" w:rsidRPr="00DC488F" w:rsidRDefault="000E6FCD" w:rsidP="00C17A21">
      <w:pPr>
        <w:spacing w:line="264" w:lineRule="auto"/>
        <w:ind w:left="1800" w:hanging="1800"/>
        <w:jc w:val="both"/>
        <w:rPr>
          <w:rFonts w:ascii="Calibri" w:hAnsi="Calibri" w:cs="Calibri"/>
        </w:rPr>
      </w:pPr>
      <w:r w:rsidRPr="00DC488F">
        <w:rPr>
          <w:rFonts w:ascii="Calibri" w:hAnsi="Calibri" w:cs="Calibri"/>
        </w:rPr>
        <w:t>ATTENDU qu’une séance de consultation publique a eu lieu le 2 juillet 2024;</w:t>
      </w:r>
    </w:p>
    <w:p w14:paraId="3DBCAC1F" w14:textId="7A6989F7" w:rsidR="000E6FCD" w:rsidRPr="00DC488F" w:rsidRDefault="000E6FCD" w:rsidP="00C17A21">
      <w:pPr>
        <w:spacing w:line="264" w:lineRule="auto"/>
        <w:jc w:val="both"/>
        <w:rPr>
          <w:rFonts w:ascii="Calibri" w:hAnsi="Calibri" w:cs="Calibri"/>
          <w:i/>
        </w:rPr>
      </w:pPr>
      <w:r w:rsidRPr="00DC488F">
        <w:rPr>
          <w:rFonts w:ascii="Calibri" w:hAnsi="Calibri" w:cs="Calibri"/>
        </w:rPr>
        <w:t xml:space="preserve">ATTENDU que le présent règlement n’est pas susceptible d’approbation référendaire par les personnes habiles à voter en vertu de la </w:t>
      </w:r>
      <w:r w:rsidRPr="00DC488F">
        <w:rPr>
          <w:rFonts w:ascii="Calibri" w:hAnsi="Calibri" w:cs="Calibri"/>
          <w:i/>
        </w:rPr>
        <w:t>Loi sur l’aménagement et l’urbanisme;</w:t>
      </w:r>
    </w:p>
    <w:p w14:paraId="1F9BDAAF" w14:textId="3DDEB47A" w:rsidR="000E6FCD" w:rsidRPr="00DC488F" w:rsidRDefault="000E6FCD" w:rsidP="00C17A21">
      <w:pPr>
        <w:spacing w:line="264" w:lineRule="auto"/>
        <w:jc w:val="both"/>
        <w:rPr>
          <w:rFonts w:ascii="Calibri" w:hAnsi="Calibri" w:cs="Calibri"/>
        </w:rPr>
      </w:pPr>
      <w:r w:rsidRPr="00DC488F">
        <w:rPr>
          <w:rFonts w:ascii="Calibri" w:hAnsi="Calibri" w:cs="Calibri"/>
        </w:rPr>
        <w:t>ATTENDU qu’une copie du présent règlement a été remise aux membres du conseil municipal conformément au Code municipal du Québec (RLRQ, c. C-27.1);</w:t>
      </w:r>
    </w:p>
    <w:p w14:paraId="4715A2DE" w14:textId="23BE8DF4" w:rsidR="000E6FCD" w:rsidRPr="00DC488F" w:rsidRDefault="000E6FCD" w:rsidP="00C17A21">
      <w:pPr>
        <w:spacing w:line="264" w:lineRule="auto"/>
        <w:jc w:val="both"/>
        <w:rPr>
          <w:rFonts w:ascii="Calibri" w:hAnsi="Calibri" w:cs="Calibri"/>
        </w:rPr>
      </w:pPr>
      <w:r w:rsidRPr="00DC488F">
        <w:rPr>
          <w:rFonts w:ascii="Calibri" w:hAnsi="Calibri" w:cs="Calibri"/>
        </w:rPr>
        <w:t>ATTENDU qu’une copie du présent règlement a été mise à la disposition du public pour consultation dès le début de la séance.</w:t>
      </w:r>
    </w:p>
    <w:p w14:paraId="59C5EABC" w14:textId="079E4ABC" w:rsidR="006F12A2" w:rsidRPr="00DC488F" w:rsidRDefault="006F12A2" w:rsidP="00C17A21">
      <w:pPr>
        <w:spacing w:after="0" w:line="264" w:lineRule="auto"/>
        <w:jc w:val="both"/>
        <w:rPr>
          <w:rFonts w:ascii="Calibri" w:eastAsia="Times New Roman" w:hAnsi="Calibri" w:cs="Calibri"/>
          <w:bCs/>
          <w:lang w:eastAsia="fr-FR"/>
        </w:rPr>
      </w:pPr>
      <w:r w:rsidRPr="00DC488F">
        <w:rPr>
          <w:rFonts w:ascii="Calibri" w:eastAsia="Times New Roman" w:hAnsi="Calibri" w:cs="Calibri"/>
          <w:bCs/>
          <w:lang w:eastAsia="fr-FR"/>
        </w:rPr>
        <w:t xml:space="preserve">Il EST PROPOSÉ PAR </w:t>
      </w:r>
      <w:r w:rsidR="00FD2CB0">
        <w:rPr>
          <w:rFonts w:ascii="Calibri" w:eastAsia="Times New Roman" w:hAnsi="Calibri" w:cs="Calibri"/>
          <w:bCs/>
          <w:lang w:eastAsia="fr-FR"/>
        </w:rPr>
        <w:t>la conseillère Manon Jutras</w:t>
      </w:r>
      <w:r w:rsidRPr="00DC488F">
        <w:rPr>
          <w:rFonts w:ascii="Calibri" w:eastAsia="Times New Roman" w:hAnsi="Calibri" w:cs="Calibri"/>
          <w:bCs/>
          <w:lang w:eastAsia="fr-FR"/>
        </w:rPr>
        <w:t xml:space="preserve"> </w:t>
      </w:r>
      <w:r w:rsidR="00C67795" w:rsidRPr="00DC488F">
        <w:rPr>
          <w:rFonts w:ascii="Calibri" w:eastAsia="Times New Roman" w:hAnsi="Calibri" w:cs="Calibri"/>
          <w:bCs/>
          <w:lang w:eastAsia="fr-FR"/>
        </w:rPr>
        <w:t>et résolu</w:t>
      </w:r>
      <w:r w:rsidRPr="00DC488F">
        <w:rPr>
          <w:rFonts w:ascii="Calibri" w:eastAsia="Times New Roman" w:hAnsi="Calibri" w:cs="Calibri"/>
          <w:bCs/>
          <w:lang w:eastAsia="fr-FR"/>
        </w:rPr>
        <w:t xml:space="preserve"> à l’unanimité des conseillers</w:t>
      </w:r>
      <w:r w:rsidR="00C67795" w:rsidRPr="00DC488F">
        <w:rPr>
          <w:rFonts w:ascii="Calibri" w:eastAsia="Times New Roman" w:hAnsi="Calibri" w:cs="Calibri"/>
          <w:bCs/>
          <w:lang w:eastAsia="fr-FR"/>
        </w:rPr>
        <w:t>:</w:t>
      </w:r>
    </w:p>
    <w:p w14:paraId="18CB01FF" w14:textId="77777777" w:rsidR="006F12A2" w:rsidRPr="00DC488F" w:rsidRDefault="006F12A2" w:rsidP="00C17A21">
      <w:pPr>
        <w:spacing w:after="0" w:line="264" w:lineRule="auto"/>
        <w:jc w:val="both"/>
        <w:rPr>
          <w:rFonts w:ascii="Calibri" w:eastAsia="Times New Roman" w:hAnsi="Calibri" w:cs="Calibri"/>
          <w:bCs/>
          <w:lang w:eastAsia="fr-FR"/>
        </w:rPr>
      </w:pPr>
    </w:p>
    <w:p w14:paraId="3F1842FE" w14:textId="4F749BE9" w:rsidR="006F12A2" w:rsidRPr="00DC488F" w:rsidRDefault="006F12A2" w:rsidP="00C17A21">
      <w:pPr>
        <w:spacing w:after="0" w:line="264" w:lineRule="auto"/>
        <w:jc w:val="both"/>
        <w:rPr>
          <w:rFonts w:ascii="Calibri" w:eastAsia="Times New Roman" w:hAnsi="Calibri" w:cs="Calibri"/>
          <w:bCs/>
          <w:lang w:eastAsia="fr-FR"/>
        </w:rPr>
      </w:pPr>
      <w:r w:rsidRPr="00DC488F">
        <w:rPr>
          <w:rFonts w:ascii="Calibri" w:eastAsia="Times New Roman" w:hAnsi="Calibri" w:cs="Calibri"/>
          <w:bCs/>
          <w:lang w:eastAsia="fr-FR"/>
        </w:rPr>
        <w:t>D’ADOPTER le règlement numéro RU-958-06-2024 modifiant le règlement de lotissement numéro RU-903-2014 afin de modifier les obligations à l’égard de la contribution et au calcul de la valeur;</w:t>
      </w:r>
    </w:p>
    <w:p w14:paraId="20CEDC52" w14:textId="77777777" w:rsidR="006F12A2" w:rsidRPr="00DC488F" w:rsidRDefault="006F12A2" w:rsidP="00C17A21">
      <w:pPr>
        <w:spacing w:after="0" w:line="264" w:lineRule="auto"/>
        <w:jc w:val="both"/>
        <w:rPr>
          <w:rFonts w:ascii="Calibri" w:eastAsia="Times New Roman" w:hAnsi="Calibri" w:cs="Calibri"/>
          <w:bCs/>
          <w:lang w:eastAsia="fr-FR"/>
        </w:rPr>
      </w:pPr>
    </w:p>
    <w:p w14:paraId="3AE70BA8" w14:textId="77777777" w:rsidR="006F12A2" w:rsidRPr="00DC488F" w:rsidRDefault="006F12A2" w:rsidP="00C17A21">
      <w:pPr>
        <w:spacing w:after="240" w:line="264" w:lineRule="auto"/>
        <w:jc w:val="both"/>
        <w:rPr>
          <w:rFonts w:ascii="Calibri" w:eastAsia="Times New Roman" w:hAnsi="Calibri" w:cs="Calibri"/>
          <w:bCs/>
          <w:lang w:eastAsia="fr-FR"/>
        </w:rPr>
      </w:pPr>
      <w:r w:rsidRPr="00DC488F">
        <w:rPr>
          <w:rFonts w:ascii="Calibri" w:eastAsia="Times New Roman" w:hAnsi="Calibri" w:cs="Calibri"/>
          <w:bCs/>
          <w:lang w:eastAsia="fr-FR"/>
        </w:rPr>
        <w:t xml:space="preserve">EN CONSÉQUENCE, la Municipalité de Grenville-sur-la-Rouge décrète ce qui suit: </w:t>
      </w:r>
    </w:p>
    <w:p w14:paraId="1025B264" w14:textId="16DD7B44" w:rsidR="003B669F" w:rsidRPr="00DC488F" w:rsidRDefault="0013301C" w:rsidP="00C17A21">
      <w:pPr>
        <w:spacing w:after="0" w:line="264" w:lineRule="auto"/>
        <w:jc w:val="both"/>
        <w:rPr>
          <w:rFonts w:ascii="Calibri" w:eastAsia="Times New Roman" w:hAnsi="Calibri" w:cs="Calibri"/>
          <w:bCs/>
          <w:lang w:eastAsia="fr-FR"/>
        </w:rPr>
      </w:pPr>
      <w:r w:rsidRPr="00DC488F">
        <w:rPr>
          <w:rFonts w:ascii="Calibri" w:eastAsia="Times New Roman" w:hAnsi="Calibri" w:cs="Calibri"/>
          <w:b/>
          <w:u w:val="single"/>
          <w:lang w:eastAsia="fr-FR"/>
        </w:rPr>
        <w:t>ARTICLE 1</w:t>
      </w:r>
    </w:p>
    <w:p w14:paraId="181E98C9" w14:textId="77777777" w:rsidR="00B86171" w:rsidRPr="00DC488F" w:rsidRDefault="00B86171" w:rsidP="00C17A21">
      <w:pPr>
        <w:spacing w:after="0" w:line="264" w:lineRule="auto"/>
        <w:jc w:val="both"/>
        <w:rPr>
          <w:rFonts w:ascii="Calibri" w:eastAsia="Times New Roman" w:hAnsi="Calibri" w:cs="Calibri"/>
          <w:bCs/>
          <w:lang w:eastAsia="fr-FR"/>
        </w:rPr>
      </w:pPr>
    </w:p>
    <w:p w14:paraId="4678B4E2" w14:textId="77777777" w:rsidR="00B86171" w:rsidRPr="00DC488F" w:rsidRDefault="00B86171" w:rsidP="00C17A21">
      <w:pPr>
        <w:spacing w:after="0" w:line="264" w:lineRule="auto"/>
        <w:jc w:val="both"/>
        <w:rPr>
          <w:rFonts w:ascii="Calibri" w:eastAsia="Times New Roman" w:hAnsi="Calibri" w:cs="Calibri"/>
          <w:bCs/>
          <w:lang w:eastAsia="fr-FR"/>
        </w:rPr>
      </w:pPr>
    </w:p>
    <w:p w14:paraId="779C0DCD" w14:textId="211CA462" w:rsidR="002B242D" w:rsidRPr="00DC488F" w:rsidRDefault="008F0767" w:rsidP="00C17A21">
      <w:pPr>
        <w:spacing w:line="264" w:lineRule="auto"/>
        <w:rPr>
          <w:rFonts w:ascii="Calibri" w:hAnsi="Calibri" w:cs="Calibri"/>
          <w:u w:val="single"/>
        </w:rPr>
      </w:pPr>
      <w:r w:rsidRPr="00DC488F">
        <w:rPr>
          <w:rFonts w:ascii="Calibri" w:hAnsi="Calibri" w:cs="Calibri"/>
          <w:u w:val="single"/>
        </w:rPr>
        <w:t>L’article 17 est remplacé par le suivant</w:t>
      </w:r>
    </w:p>
    <w:p w14:paraId="174DB4A2" w14:textId="77777777" w:rsidR="002B242D" w:rsidRPr="00DC488F" w:rsidRDefault="002B242D" w:rsidP="00C17A21">
      <w:pPr>
        <w:pStyle w:val="Article"/>
        <w:spacing w:line="264" w:lineRule="auto"/>
        <w:rPr>
          <w:rFonts w:ascii="Calibri" w:hAnsi="Calibri" w:cs="Calibri"/>
          <w:sz w:val="22"/>
          <w:szCs w:val="22"/>
        </w:rPr>
      </w:pPr>
      <w:bookmarkStart w:id="2" w:name="_Ref169420130"/>
      <w:bookmarkStart w:id="3" w:name="_Ref169420134"/>
      <w:bookmarkStart w:id="4" w:name="_Ref169420155"/>
      <w:bookmarkStart w:id="5" w:name="_Ref169420178"/>
      <w:bookmarkStart w:id="6" w:name="_Ref169420258"/>
      <w:bookmarkStart w:id="7" w:name="_Ref169420282"/>
      <w:bookmarkStart w:id="8" w:name="_Ref351317338"/>
      <w:bookmarkStart w:id="9" w:name="_Toc351722703"/>
      <w:bookmarkStart w:id="10" w:name="_Toc167088867"/>
      <w:r w:rsidRPr="00DC488F">
        <w:rPr>
          <w:rFonts w:ascii="Calibri" w:hAnsi="Calibri" w:cs="Calibri"/>
          <w:sz w:val="22"/>
          <w:szCs w:val="22"/>
        </w:rPr>
        <w:t xml:space="preserve">OBLIGATION DE </w:t>
      </w:r>
      <w:bookmarkEnd w:id="2"/>
      <w:bookmarkEnd w:id="3"/>
      <w:bookmarkEnd w:id="4"/>
      <w:bookmarkEnd w:id="5"/>
      <w:bookmarkEnd w:id="6"/>
      <w:bookmarkEnd w:id="7"/>
      <w:r w:rsidRPr="00DC488F">
        <w:rPr>
          <w:rFonts w:ascii="Calibri" w:hAnsi="Calibri" w:cs="Calibri"/>
          <w:sz w:val="22"/>
          <w:szCs w:val="22"/>
        </w:rPr>
        <w:t>CONTRIBUER</w:t>
      </w:r>
      <w:bookmarkEnd w:id="8"/>
      <w:bookmarkEnd w:id="9"/>
      <w:bookmarkEnd w:id="10"/>
    </w:p>
    <w:p w14:paraId="1B1762E7" w14:textId="7E0DF9B2" w:rsidR="002B242D" w:rsidRPr="00DC488F" w:rsidRDefault="002B242D" w:rsidP="00C17A21">
      <w:pPr>
        <w:pStyle w:val="Alina"/>
        <w:spacing w:line="264" w:lineRule="auto"/>
        <w:rPr>
          <w:rFonts w:ascii="Calibri" w:hAnsi="Calibri" w:cs="Calibri"/>
          <w:sz w:val="22"/>
          <w:szCs w:val="22"/>
        </w:rPr>
      </w:pPr>
      <w:r w:rsidRPr="00DC488F">
        <w:rPr>
          <w:rFonts w:ascii="Calibri" w:hAnsi="Calibri" w:cs="Calibri"/>
          <w:sz w:val="22"/>
          <w:szCs w:val="22"/>
        </w:rPr>
        <w:t xml:space="preserve">Sous réserve de </w:t>
      </w:r>
      <w:r w:rsidR="0089029F" w:rsidRPr="00DC488F">
        <w:rPr>
          <w:rFonts w:ascii="Calibri" w:hAnsi="Calibri" w:cs="Calibri"/>
          <w:sz w:val="22"/>
          <w:szCs w:val="22"/>
        </w:rPr>
        <w:t xml:space="preserve">l’article 20, </w:t>
      </w:r>
      <w:r w:rsidRPr="00DC488F">
        <w:rPr>
          <w:rFonts w:ascii="Calibri" w:hAnsi="Calibri" w:cs="Calibri"/>
          <w:sz w:val="22"/>
          <w:szCs w:val="22"/>
        </w:rPr>
        <w:t>le propriétaire d’un terrain visé par un plan relatif à une opération cadastrale doit, préalablement à l’approbation de ce plan et selon le choix du conseil exprimé par résolution, remplir l’une des obligations suivantes :</w:t>
      </w:r>
    </w:p>
    <w:p w14:paraId="60AB1911" w14:textId="4CB651E2" w:rsidR="002B242D" w:rsidRPr="00DC488F" w:rsidRDefault="002B242D" w:rsidP="00C17A21">
      <w:pPr>
        <w:pStyle w:val="Article"/>
        <w:numPr>
          <w:ilvl w:val="0"/>
          <w:numId w:val="7"/>
        </w:numPr>
        <w:tabs>
          <w:tab w:val="clear" w:pos="709"/>
          <w:tab w:val="clear" w:pos="862"/>
          <w:tab w:val="num" w:pos="2117"/>
        </w:tabs>
        <w:spacing w:line="264" w:lineRule="auto"/>
        <w:ind w:left="709" w:hanging="567"/>
        <w:rPr>
          <w:rFonts w:ascii="Calibri" w:hAnsi="Calibri" w:cs="Calibri"/>
          <w:b w:val="0"/>
          <w:bCs w:val="0"/>
          <w:caps w:val="0"/>
          <w:sz w:val="22"/>
          <w:szCs w:val="22"/>
        </w:rPr>
      </w:pPr>
      <w:r w:rsidRPr="00DC488F">
        <w:rPr>
          <w:rFonts w:ascii="Calibri" w:hAnsi="Calibri" w:cs="Calibri"/>
          <w:b w:val="0"/>
          <w:bCs w:val="0"/>
          <w:caps w:val="0"/>
          <w:sz w:val="22"/>
          <w:szCs w:val="22"/>
        </w:rPr>
        <w:t>S’engager à céder gratuitement</w:t>
      </w:r>
      <w:r w:rsidR="00FA6E27" w:rsidRPr="00DC488F">
        <w:rPr>
          <w:rFonts w:ascii="Calibri" w:hAnsi="Calibri" w:cs="Calibri"/>
          <w:b w:val="0"/>
          <w:bCs w:val="0"/>
          <w:caps w:val="0"/>
          <w:sz w:val="22"/>
          <w:szCs w:val="22"/>
        </w:rPr>
        <w:t>, dans le cas d’une opération cadastrale qui a pour effet d’augmenter le nombre de lots à trois (3) ou plus,</w:t>
      </w:r>
      <w:r w:rsidRPr="00DC488F">
        <w:rPr>
          <w:rFonts w:ascii="Calibri" w:hAnsi="Calibri" w:cs="Calibri"/>
          <w:b w:val="0"/>
          <w:bCs w:val="0"/>
          <w:caps w:val="0"/>
          <w:sz w:val="22"/>
          <w:szCs w:val="22"/>
        </w:rPr>
        <w:t xml:space="preserve"> à la </w:t>
      </w:r>
      <w:r w:rsidR="00DD5032" w:rsidRPr="00DC488F">
        <w:rPr>
          <w:rFonts w:ascii="Calibri" w:hAnsi="Calibri" w:cs="Calibri"/>
          <w:b w:val="0"/>
          <w:bCs w:val="0"/>
          <w:caps w:val="0"/>
          <w:sz w:val="22"/>
          <w:szCs w:val="22"/>
        </w:rPr>
        <w:t xml:space="preserve">municipalité </w:t>
      </w:r>
      <w:r w:rsidRPr="00DC488F">
        <w:rPr>
          <w:rFonts w:ascii="Calibri" w:hAnsi="Calibri" w:cs="Calibri"/>
          <w:b w:val="0"/>
          <w:bCs w:val="0"/>
          <w:caps w:val="0"/>
          <w:sz w:val="22"/>
          <w:szCs w:val="22"/>
        </w:rPr>
        <w:t xml:space="preserve">un terrain d’une superficie équivalant à 10 % de la superficie du terrain visé par le plan relatif à l’opération cadastrale et qui, de l’avis du conseil, convient à l’établissement ou à l’agrandissement d’un parc ou d’un terrain de jeux ou au maintien d’un espace </w:t>
      </w:r>
      <w:r w:rsidR="008F0767" w:rsidRPr="00DC488F">
        <w:rPr>
          <w:rFonts w:ascii="Calibri" w:hAnsi="Calibri" w:cs="Calibri"/>
          <w:b w:val="0"/>
          <w:bCs w:val="0"/>
          <w:caps w:val="0"/>
          <w:sz w:val="22"/>
          <w:szCs w:val="22"/>
        </w:rPr>
        <w:t>naturel;</w:t>
      </w:r>
      <w:r w:rsidRPr="00DC488F">
        <w:rPr>
          <w:rFonts w:ascii="Calibri" w:hAnsi="Calibri" w:cs="Calibri"/>
          <w:b w:val="0"/>
          <w:bCs w:val="0"/>
          <w:caps w:val="0"/>
          <w:sz w:val="22"/>
          <w:szCs w:val="22"/>
        </w:rPr>
        <w:t xml:space="preserve"> </w:t>
      </w:r>
    </w:p>
    <w:p w14:paraId="5C6BCF82" w14:textId="31486091" w:rsidR="002B242D" w:rsidRPr="00DC488F" w:rsidRDefault="002B242D" w:rsidP="00C17A21">
      <w:pPr>
        <w:pStyle w:val="Article"/>
        <w:tabs>
          <w:tab w:val="clear" w:pos="709"/>
          <w:tab w:val="clear" w:pos="862"/>
          <w:tab w:val="num" w:pos="2117"/>
        </w:tabs>
        <w:spacing w:line="264" w:lineRule="auto"/>
        <w:rPr>
          <w:rFonts w:ascii="Calibri" w:hAnsi="Calibri" w:cs="Calibri"/>
          <w:b w:val="0"/>
          <w:bCs w:val="0"/>
          <w:caps w:val="0"/>
          <w:sz w:val="22"/>
          <w:szCs w:val="22"/>
        </w:rPr>
      </w:pPr>
      <w:r w:rsidRPr="00DC488F">
        <w:rPr>
          <w:rFonts w:ascii="Calibri" w:hAnsi="Calibri" w:cs="Calibri"/>
          <w:b w:val="0"/>
          <w:bCs w:val="0"/>
          <w:caps w:val="0"/>
          <w:sz w:val="22"/>
          <w:szCs w:val="22"/>
        </w:rPr>
        <w:t xml:space="preserve">Verser à la </w:t>
      </w:r>
      <w:r w:rsidR="00DD5032" w:rsidRPr="00DC488F">
        <w:rPr>
          <w:rFonts w:ascii="Calibri" w:hAnsi="Calibri" w:cs="Calibri"/>
          <w:b w:val="0"/>
          <w:bCs w:val="0"/>
          <w:caps w:val="0"/>
          <w:sz w:val="22"/>
          <w:szCs w:val="22"/>
        </w:rPr>
        <w:t>municipalité</w:t>
      </w:r>
      <w:r w:rsidR="00FA6E27" w:rsidRPr="00DC488F">
        <w:rPr>
          <w:rFonts w:ascii="Calibri" w:hAnsi="Calibri" w:cs="Calibri"/>
          <w:b w:val="0"/>
          <w:bCs w:val="0"/>
          <w:caps w:val="0"/>
          <w:sz w:val="22"/>
          <w:szCs w:val="22"/>
        </w:rPr>
        <w:t xml:space="preserve">, dans le cas d’une opération cadastrale qui a pour effet d’augmenter le nombre de lots à trois (3) ou plus, </w:t>
      </w:r>
      <w:r w:rsidRPr="00DC488F">
        <w:rPr>
          <w:rFonts w:ascii="Calibri" w:hAnsi="Calibri" w:cs="Calibri"/>
          <w:b w:val="0"/>
          <w:bCs w:val="0"/>
          <w:caps w:val="0"/>
          <w:sz w:val="22"/>
          <w:szCs w:val="22"/>
        </w:rPr>
        <w:t xml:space="preserve">un montant en argent équivalant à 10 % de la valeur du terrain visé par le plan relatif à l’opération cadastrale; </w:t>
      </w:r>
    </w:p>
    <w:p w14:paraId="2D9AB78E" w14:textId="63CC195A" w:rsidR="002B242D" w:rsidRPr="00DC488F" w:rsidRDefault="00595742" w:rsidP="00C17A21">
      <w:pPr>
        <w:pStyle w:val="Article"/>
        <w:tabs>
          <w:tab w:val="clear" w:pos="709"/>
          <w:tab w:val="num" w:pos="2117"/>
        </w:tabs>
        <w:spacing w:line="252" w:lineRule="auto"/>
        <w:rPr>
          <w:rFonts w:ascii="Calibri" w:hAnsi="Calibri" w:cs="Calibri"/>
          <w:b w:val="0"/>
          <w:bCs w:val="0"/>
          <w:caps w:val="0"/>
          <w:sz w:val="22"/>
          <w:szCs w:val="22"/>
        </w:rPr>
      </w:pPr>
      <w:r w:rsidRPr="00DC488F">
        <w:rPr>
          <w:rFonts w:ascii="Calibri" w:hAnsi="Calibri" w:cs="Calibri"/>
          <w:b w:val="0"/>
          <w:bCs w:val="0"/>
          <w:caps w:val="0"/>
          <w:sz w:val="22"/>
          <w:szCs w:val="22"/>
        </w:rPr>
        <w:lastRenderedPageBreak/>
        <w:t>S</w:t>
      </w:r>
      <w:r w:rsidR="002B242D" w:rsidRPr="00DC488F">
        <w:rPr>
          <w:rFonts w:ascii="Calibri" w:hAnsi="Calibri" w:cs="Calibri"/>
          <w:b w:val="0"/>
          <w:bCs w:val="0"/>
          <w:caps w:val="0"/>
          <w:sz w:val="22"/>
          <w:szCs w:val="22"/>
        </w:rPr>
        <w:t>’engager à céder gratuitement</w:t>
      </w:r>
      <w:r w:rsidR="00FA6E27" w:rsidRPr="00DC488F">
        <w:rPr>
          <w:rFonts w:ascii="Calibri" w:hAnsi="Calibri" w:cs="Calibri"/>
          <w:b w:val="0"/>
          <w:bCs w:val="0"/>
          <w:caps w:val="0"/>
          <w:sz w:val="22"/>
          <w:szCs w:val="22"/>
        </w:rPr>
        <w:t xml:space="preserve">, dans le cas d’une opération cadastrale qui a pour effet d’augmenter le nombre de  lots à trois (3) ou plus, </w:t>
      </w:r>
      <w:r w:rsidR="002B242D" w:rsidRPr="00DC488F">
        <w:rPr>
          <w:rFonts w:ascii="Calibri" w:hAnsi="Calibri" w:cs="Calibri"/>
          <w:b w:val="0"/>
          <w:bCs w:val="0"/>
          <w:caps w:val="0"/>
          <w:sz w:val="22"/>
          <w:szCs w:val="22"/>
        </w:rPr>
        <w:t xml:space="preserve"> à la </w:t>
      </w:r>
      <w:r w:rsidR="00DD5032" w:rsidRPr="00DC488F">
        <w:rPr>
          <w:rFonts w:ascii="Calibri" w:hAnsi="Calibri" w:cs="Calibri"/>
          <w:b w:val="0"/>
          <w:bCs w:val="0"/>
          <w:caps w:val="0"/>
          <w:sz w:val="22"/>
          <w:szCs w:val="22"/>
        </w:rPr>
        <w:t>municipalité</w:t>
      </w:r>
      <w:r w:rsidR="002B242D" w:rsidRPr="00DC488F">
        <w:rPr>
          <w:rFonts w:ascii="Calibri" w:hAnsi="Calibri" w:cs="Calibri"/>
          <w:b w:val="0"/>
          <w:bCs w:val="0"/>
          <w:caps w:val="0"/>
          <w:sz w:val="22"/>
          <w:szCs w:val="22"/>
        </w:rPr>
        <w:t xml:space="preserve"> une partie de terrain qui, de l’avis du conseil, convient à l’établissement d’un parc ou d’un terrain de jeux ou au maintien d’un espace naturel et verser à la </w:t>
      </w:r>
      <w:r w:rsidR="00DD5032" w:rsidRPr="00DC488F">
        <w:rPr>
          <w:rFonts w:ascii="Calibri" w:hAnsi="Calibri" w:cs="Calibri"/>
          <w:b w:val="0"/>
          <w:bCs w:val="0"/>
          <w:caps w:val="0"/>
          <w:sz w:val="22"/>
          <w:szCs w:val="22"/>
        </w:rPr>
        <w:t>municipalité</w:t>
      </w:r>
      <w:r w:rsidR="002B242D" w:rsidRPr="00DC488F">
        <w:rPr>
          <w:rFonts w:ascii="Calibri" w:hAnsi="Calibri" w:cs="Calibri"/>
          <w:b w:val="0"/>
          <w:bCs w:val="0"/>
          <w:caps w:val="0"/>
          <w:sz w:val="22"/>
          <w:szCs w:val="22"/>
        </w:rPr>
        <w:t xml:space="preserve"> un montant en argent, la somme de la valeur de la partie de terrain cédée à la </w:t>
      </w:r>
      <w:r w:rsidR="00DD5032" w:rsidRPr="00DC488F">
        <w:rPr>
          <w:rFonts w:ascii="Calibri" w:hAnsi="Calibri" w:cs="Calibri"/>
          <w:b w:val="0"/>
          <w:bCs w:val="0"/>
          <w:caps w:val="0"/>
          <w:sz w:val="22"/>
          <w:szCs w:val="22"/>
        </w:rPr>
        <w:t>municipalité</w:t>
      </w:r>
      <w:r w:rsidR="002B242D" w:rsidRPr="00DC488F">
        <w:rPr>
          <w:rFonts w:ascii="Calibri" w:hAnsi="Calibri" w:cs="Calibri"/>
          <w:b w:val="0"/>
          <w:bCs w:val="0"/>
          <w:caps w:val="0"/>
          <w:sz w:val="22"/>
          <w:szCs w:val="22"/>
        </w:rPr>
        <w:t xml:space="preserve"> et du montant versé en argent doit équivaloir à 10 % de la valeur du terrain visé par le plan relatif à l’opération cadastrale;</w:t>
      </w:r>
    </w:p>
    <w:p w14:paraId="0E352E88" w14:textId="238094C9" w:rsidR="002B242D" w:rsidRPr="00DC488F" w:rsidRDefault="002B242D" w:rsidP="00C17A21">
      <w:pPr>
        <w:pStyle w:val="Paragraphe"/>
        <w:spacing w:line="252" w:lineRule="auto"/>
        <w:ind w:left="851"/>
        <w:rPr>
          <w:rFonts w:ascii="Calibri" w:hAnsi="Calibri" w:cs="Calibri"/>
          <w:sz w:val="22"/>
          <w:szCs w:val="22"/>
        </w:rPr>
      </w:pPr>
      <w:r w:rsidRPr="00DC488F">
        <w:rPr>
          <w:rFonts w:ascii="Calibri" w:hAnsi="Calibri" w:cs="Calibri"/>
          <w:sz w:val="22"/>
          <w:szCs w:val="22"/>
        </w:rPr>
        <w:t>Le terrain que le propriétaire s’engage à céder doit faire partie du plan relatif à l’opération cadastrale. Toutefois, la Municipalité peut convenir avec le propriétaire que l’engagement porte sur un terrain du territoire de la Municipalité qui n’est pas compris dans le site.</w:t>
      </w:r>
    </w:p>
    <w:p w14:paraId="1EB910C3" w14:textId="77777777" w:rsidR="002B242D" w:rsidRPr="00DC488F" w:rsidRDefault="002B242D" w:rsidP="00C17A21">
      <w:pPr>
        <w:pStyle w:val="Paragraphe"/>
        <w:spacing w:line="252" w:lineRule="auto"/>
        <w:ind w:left="851"/>
        <w:rPr>
          <w:rFonts w:ascii="Calibri" w:hAnsi="Calibri" w:cs="Calibri"/>
          <w:sz w:val="22"/>
          <w:szCs w:val="22"/>
        </w:rPr>
      </w:pPr>
      <w:r w:rsidRPr="00DC488F">
        <w:rPr>
          <w:rFonts w:ascii="Calibri" w:hAnsi="Calibri" w:cs="Calibri"/>
          <w:sz w:val="22"/>
          <w:szCs w:val="22"/>
        </w:rPr>
        <w:t xml:space="preserve">Pour des fins de ce calcul, on considère la superficie brute du site à développer, excluant les espaces réservés à des fins de conservation reconnus par le MDDELCC. </w:t>
      </w:r>
    </w:p>
    <w:p w14:paraId="12D74A88" w14:textId="7A18A684" w:rsidR="002B242D" w:rsidRPr="00DC488F" w:rsidRDefault="002B242D" w:rsidP="00C17A21">
      <w:pPr>
        <w:pStyle w:val="Paragraphe"/>
        <w:spacing w:line="252" w:lineRule="auto"/>
        <w:ind w:left="851"/>
        <w:rPr>
          <w:rFonts w:ascii="Calibri" w:hAnsi="Calibri" w:cs="Calibri"/>
          <w:sz w:val="22"/>
          <w:szCs w:val="22"/>
        </w:rPr>
      </w:pPr>
      <w:r w:rsidRPr="00DC488F">
        <w:rPr>
          <w:rFonts w:ascii="Calibri" w:hAnsi="Calibri" w:cs="Calibri"/>
          <w:sz w:val="22"/>
          <w:szCs w:val="22"/>
        </w:rPr>
        <w:t>Les rives, cours d’eau, zones inondables et milieux humides ne peuvent être cédés à titre de contribution relative aux parcs, terrains de jeux et espaces naturels.</w:t>
      </w:r>
    </w:p>
    <w:p w14:paraId="10F38BD5" w14:textId="77777777" w:rsidR="008F0767" w:rsidRPr="00DC488F" w:rsidRDefault="008F0767" w:rsidP="00C17A21">
      <w:pPr>
        <w:pStyle w:val="Paragraphe"/>
        <w:spacing w:line="252" w:lineRule="auto"/>
        <w:ind w:left="851"/>
        <w:rPr>
          <w:rFonts w:ascii="Calibri" w:hAnsi="Calibri" w:cs="Calibri"/>
          <w:sz w:val="22"/>
          <w:szCs w:val="22"/>
        </w:rPr>
      </w:pPr>
      <w:r w:rsidRPr="00DC488F">
        <w:rPr>
          <w:rFonts w:ascii="Calibri" w:hAnsi="Calibri" w:cs="Calibri"/>
          <w:sz w:val="22"/>
          <w:szCs w:val="22"/>
        </w:rPr>
        <w:t xml:space="preserve">La contribution à l’égard d’un même site est successive, mais doit tenir compte des conditions suivantes : </w:t>
      </w:r>
    </w:p>
    <w:p w14:paraId="5BB8C7D5" w14:textId="77777777" w:rsidR="008F0767" w:rsidRPr="00DC488F" w:rsidRDefault="008F0767" w:rsidP="00C17A21">
      <w:pPr>
        <w:pStyle w:val="Article"/>
        <w:tabs>
          <w:tab w:val="clear" w:pos="709"/>
        </w:tabs>
        <w:spacing w:line="252" w:lineRule="auto"/>
        <w:rPr>
          <w:rFonts w:ascii="Calibri" w:hAnsi="Calibri" w:cs="Calibri"/>
          <w:b w:val="0"/>
          <w:bCs w:val="0"/>
          <w:caps w:val="0"/>
          <w:sz w:val="22"/>
          <w:szCs w:val="22"/>
        </w:rPr>
      </w:pPr>
      <w:r w:rsidRPr="00DC488F">
        <w:rPr>
          <w:rFonts w:ascii="Calibri" w:hAnsi="Calibri" w:cs="Calibri"/>
          <w:b w:val="0"/>
          <w:bCs w:val="0"/>
          <w:caps w:val="0"/>
          <w:sz w:val="22"/>
          <w:szCs w:val="22"/>
        </w:rPr>
        <w:t xml:space="preserve">Toute partie du site visé qui a déjà fait l’objet d’une contribution antérieure sous forme de cession de terrain est exclue du calcul de la superficie ou de la valeur actuelle du site ; </w:t>
      </w:r>
    </w:p>
    <w:p w14:paraId="63BF594F" w14:textId="77777777" w:rsidR="008F0767" w:rsidRPr="00DC488F" w:rsidRDefault="008F0767" w:rsidP="00C17A21">
      <w:pPr>
        <w:pStyle w:val="Article"/>
        <w:tabs>
          <w:tab w:val="clear" w:pos="709"/>
          <w:tab w:val="num" w:pos="2117"/>
        </w:tabs>
        <w:spacing w:line="252" w:lineRule="auto"/>
        <w:rPr>
          <w:rFonts w:ascii="Calibri" w:hAnsi="Calibri" w:cs="Calibri"/>
          <w:b w:val="0"/>
          <w:bCs w:val="0"/>
          <w:caps w:val="0"/>
          <w:sz w:val="22"/>
          <w:szCs w:val="22"/>
        </w:rPr>
      </w:pPr>
      <w:r w:rsidRPr="00DC488F">
        <w:rPr>
          <w:rFonts w:ascii="Calibri" w:hAnsi="Calibri" w:cs="Calibri"/>
          <w:b w:val="0"/>
          <w:bCs w:val="0"/>
          <w:caps w:val="0"/>
          <w:sz w:val="22"/>
          <w:szCs w:val="22"/>
        </w:rPr>
        <w:t xml:space="preserve">Toute somme versée à titre de contribution antérieure à l’égard d’une partie du site visé est déduite de la valeur de la contribution exigée ; </w:t>
      </w:r>
    </w:p>
    <w:p w14:paraId="248143E4" w14:textId="70D71053" w:rsidR="008F0767" w:rsidRPr="00DC488F" w:rsidRDefault="008F0767" w:rsidP="00C17A21">
      <w:pPr>
        <w:pStyle w:val="Article"/>
        <w:tabs>
          <w:tab w:val="clear" w:pos="709"/>
          <w:tab w:val="num" w:pos="2117"/>
        </w:tabs>
        <w:spacing w:after="240" w:line="252" w:lineRule="auto"/>
        <w:rPr>
          <w:rFonts w:ascii="Calibri" w:hAnsi="Calibri" w:cs="Calibri"/>
          <w:b w:val="0"/>
          <w:bCs w:val="0"/>
          <w:caps w:val="0"/>
          <w:sz w:val="22"/>
          <w:szCs w:val="22"/>
        </w:rPr>
      </w:pPr>
      <w:r w:rsidRPr="00DC488F">
        <w:rPr>
          <w:rFonts w:ascii="Calibri" w:hAnsi="Calibri" w:cs="Calibri"/>
          <w:b w:val="0"/>
          <w:bCs w:val="0"/>
          <w:caps w:val="0"/>
          <w:sz w:val="22"/>
          <w:szCs w:val="22"/>
        </w:rPr>
        <w:t>Lorsqu’une contribution antérieure a pris la forme d’une cession de terrain et du versement d’une somme, l’exclusion et la déduction sont calculées proportionnellement.</w:t>
      </w:r>
    </w:p>
    <w:p w14:paraId="146844D8" w14:textId="67F0DD88" w:rsidR="009F267F" w:rsidRPr="00DC488F" w:rsidRDefault="009F267F" w:rsidP="00C17A21">
      <w:pPr>
        <w:spacing w:after="0" w:line="252" w:lineRule="auto"/>
        <w:jc w:val="both"/>
        <w:rPr>
          <w:rFonts w:ascii="Calibri" w:eastAsia="Times New Roman" w:hAnsi="Calibri" w:cs="Calibri"/>
          <w:bCs/>
          <w:lang w:eastAsia="fr-FR"/>
        </w:rPr>
      </w:pPr>
      <w:r w:rsidRPr="00DC488F">
        <w:rPr>
          <w:rFonts w:ascii="Calibri" w:eastAsia="Times New Roman" w:hAnsi="Calibri" w:cs="Calibri"/>
          <w:b/>
          <w:u w:val="single"/>
          <w:lang w:eastAsia="fr-FR"/>
        </w:rPr>
        <w:t>ARTICLE 2</w:t>
      </w:r>
    </w:p>
    <w:p w14:paraId="312FDE19" w14:textId="77777777" w:rsidR="009F267F" w:rsidRPr="00DC488F" w:rsidRDefault="009F267F" w:rsidP="00C17A21">
      <w:pPr>
        <w:spacing w:line="252" w:lineRule="auto"/>
        <w:rPr>
          <w:rFonts w:ascii="Calibri" w:hAnsi="Calibri" w:cs="Calibri"/>
          <w:lang w:val="fr-FR"/>
        </w:rPr>
      </w:pPr>
    </w:p>
    <w:p w14:paraId="4AB6DD50" w14:textId="24725325" w:rsidR="002B242D" w:rsidRPr="00DC488F" w:rsidRDefault="008F0767" w:rsidP="00C17A21">
      <w:pPr>
        <w:spacing w:line="252" w:lineRule="auto"/>
        <w:rPr>
          <w:rFonts w:ascii="Calibri" w:hAnsi="Calibri" w:cs="Calibri"/>
          <w:u w:val="single"/>
        </w:rPr>
      </w:pPr>
      <w:r w:rsidRPr="00DC488F">
        <w:rPr>
          <w:rFonts w:ascii="Calibri" w:hAnsi="Calibri" w:cs="Calibri"/>
          <w:u w:val="single"/>
        </w:rPr>
        <w:t>L’</w:t>
      </w:r>
      <w:r w:rsidR="00595742" w:rsidRPr="00DC488F">
        <w:rPr>
          <w:rFonts w:ascii="Calibri" w:hAnsi="Calibri" w:cs="Calibri"/>
          <w:u w:val="single"/>
        </w:rPr>
        <w:t>a</w:t>
      </w:r>
      <w:r w:rsidRPr="00DC488F">
        <w:rPr>
          <w:rFonts w:ascii="Calibri" w:hAnsi="Calibri" w:cs="Calibri"/>
          <w:u w:val="single"/>
        </w:rPr>
        <w:t>rticle 21 est remplacé par le suivant</w:t>
      </w:r>
    </w:p>
    <w:p w14:paraId="049351C2" w14:textId="77777777" w:rsidR="006765DF" w:rsidRPr="00DC488F" w:rsidRDefault="006765DF" w:rsidP="00C17A21">
      <w:pPr>
        <w:pStyle w:val="Article"/>
        <w:numPr>
          <w:ilvl w:val="0"/>
          <w:numId w:val="8"/>
        </w:numPr>
        <w:tabs>
          <w:tab w:val="clear" w:pos="709"/>
          <w:tab w:val="num" w:pos="720"/>
        </w:tabs>
        <w:spacing w:line="252" w:lineRule="auto"/>
        <w:rPr>
          <w:rFonts w:ascii="Calibri" w:hAnsi="Calibri" w:cs="Calibri"/>
          <w:caps w:val="0"/>
          <w:sz w:val="22"/>
          <w:szCs w:val="22"/>
        </w:rPr>
      </w:pPr>
      <w:bookmarkStart w:id="11" w:name="_Toc351722707"/>
      <w:bookmarkStart w:id="12" w:name="_Toc167088871"/>
      <w:r w:rsidRPr="00DC488F">
        <w:rPr>
          <w:rFonts w:ascii="Calibri" w:hAnsi="Calibri" w:cs="Calibri"/>
          <w:caps w:val="0"/>
          <w:sz w:val="22"/>
          <w:szCs w:val="22"/>
        </w:rPr>
        <w:t>ÉTABLISSEMENT DE LA VALEUR DU TERRAIN</w:t>
      </w:r>
      <w:bookmarkEnd w:id="11"/>
      <w:bookmarkEnd w:id="12"/>
    </w:p>
    <w:p w14:paraId="258FF2B5" w14:textId="1DA2832D" w:rsidR="008F0767" w:rsidRPr="00DC488F" w:rsidRDefault="008F0767" w:rsidP="00C17A21">
      <w:pPr>
        <w:spacing w:line="252" w:lineRule="auto"/>
        <w:jc w:val="both"/>
        <w:rPr>
          <w:rFonts w:ascii="Calibri" w:hAnsi="Calibri" w:cs="Calibri"/>
        </w:rPr>
      </w:pPr>
      <w:r w:rsidRPr="00DC488F">
        <w:rPr>
          <w:rFonts w:ascii="Calibri" w:hAnsi="Calibri" w:cs="Calibri"/>
        </w:rPr>
        <w:t xml:space="preserve">Pour l’application des paragraphes 2° et 3° du premier alinéa de l’article 20, la valeur du terrain est considérée à la date applicable, c’est-à-dire la date de réception du plan relatif à l’opération cadastrale par la </w:t>
      </w:r>
      <w:r w:rsidR="00DD5032" w:rsidRPr="00DC488F">
        <w:rPr>
          <w:rFonts w:ascii="Calibri" w:hAnsi="Calibri" w:cs="Calibri"/>
        </w:rPr>
        <w:t>municipalité de Grenville-sur-la-Rouge</w:t>
      </w:r>
      <w:r w:rsidRPr="00DC488F">
        <w:rPr>
          <w:rFonts w:ascii="Calibri" w:hAnsi="Calibri" w:cs="Calibri"/>
        </w:rPr>
        <w:t xml:space="preserve">. Elle est établie selon l’une des méthodes suivantes : </w:t>
      </w:r>
    </w:p>
    <w:p w14:paraId="77ED91EF" w14:textId="77777777" w:rsidR="008F0767" w:rsidRPr="00DC488F" w:rsidRDefault="008F0767" w:rsidP="00C17A21">
      <w:pPr>
        <w:spacing w:line="252" w:lineRule="auto"/>
        <w:jc w:val="both"/>
        <w:rPr>
          <w:rFonts w:ascii="Calibri" w:hAnsi="Calibri" w:cs="Calibri"/>
        </w:rPr>
      </w:pPr>
      <w:r w:rsidRPr="00DC488F">
        <w:rPr>
          <w:rFonts w:ascii="Calibri" w:hAnsi="Calibri" w:cs="Calibri"/>
        </w:rPr>
        <w:tab/>
        <w:t xml:space="preserve">1° </w:t>
      </w:r>
      <w:r w:rsidRPr="00DC488F">
        <w:rPr>
          <w:rFonts w:ascii="Calibri" w:hAnsi="Calibri" w:cs="Calibri"/>
        </w:rPr>
        <w:tab/>
        <w:t xml:space="preserve">Si, à la date applicable, le terrain faisant l’objet de l’opération cadastrale constitue une unité d’évaluation inscrite au rôle d’évaluation ou une partie d’une telle unité dont la valeur est distinctement inscrite au rôle, sa valeur aux fins de calcul de la compensation est le produit obtenu en multipliant sa valeur marchande établie par un évaluateur agrée aux frais du demandeur, par le facteur du rôle établi conformément à l’article 264 de la Loi sur la fiscalité municipale (L.R.Q., c. F-2.1); </w:t>
      </w:r>
    </w:p>
    <w:p w14:paraId="51739DB3" w14:textId="76A8CCC5" w:rsidR="008F0767" w:rsidRPr="00DC488F" w:rsidRDefault="008F0767" w:rsidP="00C17A21">
      <w:pPr>
        <w:spacing w:line="252" w:lineRule="auto"/>
        <w:jc w:val="both"/>
        <w:rPr>
          <w:rFonts w:ascii="Calibri" w:hAnsi="Calibri" w:cs="Calibri"/>
        </w:rPr>
      </w:pPr>
      <w:r w:rsidRPr="00DC488F">
        <w:rPr>
          <w:rFonts w:ascii="Calibri" w:hAnsi="Calibri" w:cs="Calibri"/>
        </w:rPr>
        <w:tab/>
        <w:t xml:space="preserve">2° </w:t>
      </w:r>
      <w:r w:rsidRPr="00DC488F">
        <w:rPr>
          <w:rFonts w:ascii="Calibri" w:hAnsi="Calibri" w:cs="Calibri"/>
        </w:rPr>
        <w:tab/>
        <w:t>Si le terrain faisant l’objet de l’opération cadastrale n’est pas une unité ou partie d’unité telle qu’énoncée au paragraphe 1°, sa valeur doit être établie par un évaluateur agréé mandaté par la Ville selon les concepts applicables en matière d’expropriation. Cette évaluation est faite aux frais du propriétaire ou du demandeur.</w:t>
      </w:r>
    </w:p>
    <w:p w14:paraId="3313B20A" w14:textId="39E31785" w:rsidR="009F267F" w:rsidRPr="00DC488F" w:rsidRDefault="009F267F" w:rsidP="00C17A21">
      <w:pPr>
        <w:spacing w:after="0" w:line="252" w:lineRule="auto"/>
        <w:rPr>
          <w:rFonts w:ascii="Calibri" w:eastAsia="Times New Roman" w:hAnsi="Calibri" w:cs="Calibri"/>
          <w:b/>
          <w:u w:val="single"/>
          <w:lang w:eastAsia="fr-FR"/>
        </w:rPr>
      </w:pPr>
      <w:r w:rsidRPr="00DC488F">
        <w:rPr>
          <w:rFonts w:ascii="Calibri" w:eastAsia="Times New Roman" w:hAnsi="Calibri" w:cs="Calibri"/>
          <w:b/>
          <w:u w:val="single"/>
          <w:lang w:eastAsia="fr-FR"/>
        </w:rPr>
        <w:t>ARTICLE 3</w:t>
      </w:r>
    </w:p>
    <w:p w14:paraId="1A563FCB" w14:textId="77777777" w:rsidR="00595742" w:rsidRPr="00DC488F" w:rsidRDefault="00595742" w:rsidP="00C17A21">
      <w:pPr>
        <w:spacing w:after="0" w:line="252" w:lineRule="auto"/>
        <w:rPr>
          <w:rFonts w:ascii="Calibri" w:eastAsia="Times New Roman" w:hAnsi="Calibri" w:cs="Calibri"/>
          <w:b/>
          <w:u w:val="single"/>
          <w:lang w:eastAsia="fr-FR"/>
        </w:rPr>
      </w:pPr>
    </w:p>
    <w:p w14:paraId="15A1FFBA" w14:textId="77777777" w:rsidR="009F267F" w:rsidRPr="00DC488F" w:rsidRDefault="009F267F" w:rsidP="00C17A21">
      <w:pPr>
        <w:spacing w:after="0" w:line="252" w:lineRule="auto"/>
        <w:rPr>
          <w:rFonts w:ascii="Calibri" w:eastAsia="Times New Roman" w:hAnsi="Calibri" w:cs="Calibri"/>
          <w:bCs/>
          <w:lang w:eastAsia="fr-FR"/>
        </w:rPr>
      </w:pPr>
      <w:r w:rsidRPr="00DC488F">
        <w:rPr>
          <w:rFonts w:ascii="Calibri" w:eastAsia="Times New Roman" w:hAnsi="Calibri" w:cs="Calibri"/>
          <w:bCs/>
          <w:lang w:eastAsia="fr-FR"/>
        </w:rPr>
        <w:t>Le présent règlement entre en vigueur conformément à la Loi.</w:t>
      </w:r>
    </w:p>
    <w:p w14:paraId="02DC5119" w14:textId="77777777" w:rsidR="009F267F" w:rsidRPr="00DC488F" w:rsidRDefault="009F267F" w:rsidP="00C17A21">
      <w:pPr>
        <w:spacing w:after="0" w:line="252" w:lineRule="auto"/>
        <w:rPr>
          <w:rFonts w:ascii="Calibri" w:eastAsia="Times New Roman" w:hAnsi="Calibri" w:cs="Calibri"/>
          <w:bCs/>
          <w:lang w:eastAsia="fr-FR"/>
        </w:rPr>
      </w:pPr>
    </w:p>
    <w:p w14:paraId="591FED58" w14:textId="77777777" w:rsidR="009F267F" w:rsidRPr="00DC488F" w:rsidRDefault="009F267F" w:rsidP="00C17A21">
      <w:pPr>
        <w:spacing w:after="0" w:line="252" w:lineRule="auto"/>
        <w:rPr>
          <w:rFonts w:ascii="Calibri" w:eastAsia="Times New Roman" w:hAnsi="Calibri" w:cs="Calibri"/>
          <w:bCs/>
          <w:lang w:eastAsia="fr-FR"/>
        </w:rPr>
      </w:pPr>
    </w:p>
    <w:p w14:paraId="38E12AD4" w14:textId="77777777" w:rsidR="009F267F" w:rsidRPr="00DC488F" w:rsidRDefault="009F267F" w:rsidP="00C17A21">
      <w:pPr>
        <w:spacing w:after="0" w:line="252" w:lineRule="auto"/>
        <w:rPr>
          <w:rFonts w:ascii="Calibri" w:eastAsia="Times New Roman" w:hAnsi="Calibri" w:cs="Calibri"/>
          <w:bCs/>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22"/>
      </w:tblGrid>
      <w:tr w:rsidR="009F267F" w:rsidRPr="00DC488F" w14:paraId="59B823C5" w14:textId="77777777" w:rsidTr="00595742">
        <w:tc>
          <w:tcPr>
            <w:tcW w:w="4390" w:type="dxa"/>
          </w:tcPr>
          <w:p w14:paraId="3134DA0A" w14:textId="77777777" w:rsidR="009F267F" w:rsidRPr="00DC488F" w:rsidRDefault="009F267F" w:rsidP="00C17A21">
            <w:pPr>
              <w:spacing w:line="252" w:lineRule="auto"/>
              <w:rPr>
                <w:rFonts w:ascii="Calibri" w:eastAsia="Times New Roman" w:hAnsi="Calibri" w:cs="Calibri"/>
                <w:bCs/>
                <w:lang w:eastAsia="fr-FR"/>
              </w:rPr>
            </w:pPr>
            <w:r w:rsidRPr="00DC488F">
              <w:rPr>
                <w:rFonts w:ascii="Calibri" w:eastAsia="Times New Roman" w:hAnsi="Calibri" w:cs="Calibri"/>
                <w:bCs/>
                <w:noProof/>
                <w:lang w:eastAsia="fr-FR"/>
              </w:rPr>
              <mc:AlternateContent>
                <mc:Choice Requires="wps">
                  <w:drawing>
                    <wp:anchor distT="0" distB="0" distL="114300" distR="114300" simplePos="0" relativeHeight="251659264" behindDoc="0" locked="0" layoutInCell="1" allowOverlap="1" wp14:anchorId="55ED3817" wp14:editId="088DA459">
                      <wp:simplePos x="0" y="0"/>
                      <wp:positionH relativeFrom="column">
                        <wp:posOffset>9525</wp:posOffset>
                      </wp:positionH>
                      <wp:positionV relativeFrom="paragraph">
                        <wp:posOffset>312420</wp:posOffset>
                      </wp:positionV>
                      <wp:extent cx="2628900" cy="0"/>
                      <wp:effectExtent l="9525" t="10160" r="9525" b="8890"/>
                      <wp:wrapNone/>
                      <wp:docPr id="114224334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52352" id="_x0000_t32" coordsize="21600,21600" o:spt="32" o:oned="t" path="m,l21600,21600e" filled="f">
                      <v:path arrowok="t" fillok="f" o:connecttype="none"/>
                      <o:lock v:ext="edit" shapetype="t"/>
                    </v:shapetype>
                    <v:shape id="AutoShape 2" o:spid="_x0000_s1026" type="#_x0000_t32" style="position:absolute;margin-left:.75pt;margin-top:24.6pt;width:20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"/>
                  </w:pict>
                </mc:Fallback>
              </mc:AlternateContent>
            </w:r>
          </w:p>
        </w:tc>
        <w:tc>
          <w:tcPr>
            <w:tcW w:w="4390" w:type="dxa"/>
          </w:tcPr>
          <w:p w14:paraId="539D6F00" w14:textId="77777777" w:rsidR="009F267F" w:rsidRPr="00DC488F" w:rsidRDefault="009F267F" w:rsidP="00C17A21">
            <w:pPr>
              <w:spacing w:line="252" w:lineRule="auto"/>
              <w:rPr>
                <w:rFonts w:ascii="Calibri" w:eastAsia="Times New Roman" w:hAnsi="Calibri" w:cs="Calibri"/>
                <w:bCs/>
                <w:lang w:eastAsia="fr-FR"/>
              </w:rPr>
            </w:pPr>
            <w:r w:rsidRPr="00DC488F">
              <w:rPr>
                <w:rFonts w:ascii="Calibri" w:eastAsia="Times New Roman" w:hAnsi="Calibri" w:cs="Calibri"/>
                <w:bCs/>
                <w:noProof/>
                <w:lang w:eastAsia="fr-FR"/>
              </w:rPr>
              <mc:AlternateContent>
                <mc:Choice Requires="wps">
                  <w:drawing>
                    <wp:anchor distT="0" distB="0" distL="114300" distR="114300" simplePos="0" relativeHeight="251660288" behindDoc="0" locked="0" layoutInCell="1" allowOverlap="1" wp14:anchorId="3CE6A394" wp14:editId="771E35E9">
                      <wp:simplePos x="0" y="0"/>
                      <wp:positionH relativeFrom="column">
                        <wp:posOffset>-44450</wp:posOffset>
                      </wp:positionH>
                      <wp:positionV relativeFrom="paragraph">
                        <wp:posOffset>312420</wp:posOffset>
                      </wp:positionV>
                      <wp:extent cx="2657475" cy="0"/>
                      <wp:effectExtent l="9525" t="10160" r="9525" b="8890"/>
                      <wp:wrapNone/>
                      <wp:docPr id="14539889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753E78" id="AutoShape 3" o:spid="_x0000_s1026" type="#_x0000_t32" style="position:absolute;margin-left:-3.5pt;margin-top:24.6pt;width:20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"/>
                  </w:pict>
                </mc:Fallback>
              </mc:AlternateContent>
            </w:r>
          </w:p>
        </w:tc>
      </w:tr>
      <w:tr w:rsidR="009F267F" w:rsidRPr="00DC488F" w14:paraId="0697BC86" w14:textId="77777777" w:rsidTr="00595742">
        <w:tc>
          <w:tcPr>
            <w:tcW w:w="4390" w:type="dxa"/>
          </w:tcPr>
          <w:p w14:paraId="20C40234" w14:textId="77777777" w:rsidR="00675906" w:rsidRDefault="00675906" w:rsidP="00C17A21">
            <w:pPr>
              <w:spacing w:line="252" w:lineRule="auto"/>
              <w:rPr>
                <w:rFonts w:ascii="Calibri" w:eastAsia="Times New Roman" w:hAnsi="Calibri" w:cs="Calibri"/>
                <w:bCs/>
                <w:lang w:eastAsia="fr-FR"/>
              </w:rPr>
            </w:pPr>
          </w:p>
          <w:p w14:paraId="0D9BBF5F" w14:textId="1AF16562" w:rsidR="00BD6C63" w:rsidRDefault="00BD6C63" w:rsidP="00C17A21">
            <w:pPr>
              <w:spacing w:line="252" w:lineRule="auto"/>
              <w:rPr>
                <w:rFonts w:ascii="Calibri" w:eastAsia="Times New Roman" w:hAnsi="Calibri" w:cs="Calibri"/>
                <w:bCs/>
                <w:lang w:eastAsia="fr-FR"/>
              </w:rPr>
            </w:pPr>
            <w:r>
              <w:rPr>
                <w:rFonts w:ascii="Calibri" w:eastAsia="Times New Roman" w:hAnsi="Calibri" w:cs="Calibri"/>
                <w:bCs/>
                <w:lang w:eastAsia="fr-FR"/>
              </w:rPr>
              <w:t>Tom Arnold</w:t>
            </w:r>
          </w:p>
          <w:p w14:paraId="48AB6FE9" w14:textId="72B7BB5C" w:rsidR="009F267F" w:rsidRPr="00DC488F" w:rsidRDefault="009F267F" w:rsidP="00C17A21">
            <w:pPr>
              <w:spacing w:line="252" w:lineRule="auto"/>
              <w:rPr>
                <w:rFonts w:ascii="Calibri" w:eastAsia="Times New Roman" w:hAnsi="Calibri" w:cs="Calibri"/>
                <w:bCs/>
                <w:lang w:eastAsia="fr-FR"/>
              </w:rPr>
            </w:pPr>
            <w:r w:rsidRPr="00DC488F">
              <w:rPr>
                <w:rFonts w:ascii="Calibri" w:eastAsia="Times New Roman" w:hAnsi="Calibri" w:cs="Calibri"/>
                <w:bCs/>
                <w:lang w:eastAsia="fr-FR"/>
              </w:rPr>
              <w:t>Maire</w:t>
            </w:r>
          </w:p>
        </w:tc>
        <w:tc>
          <w:tcPr>
            <w:tcW w:w="4390" w:type="dxa"/>
          </w:tcPr>
          <w:p w14:paraId="6AF3708F" w14:textId="77777777" w:rsidR="00675906" w:rsidRDefault="00675906" w:rsidP="00C17A21">
            <w:pPr>
              <w:spacing w:line="252" w:lineRule="auto"/>
              <w:rPr>
                <w:rFonts w:ascii="Calibri" w:eastAsia="Times New Roman" w:hAnsi="Calibri" w:cs="Calibri"/>
                <w:bCs/>
                <w:lang w:eastAsia="fr-FR"/>
              </w:rPr>
            </w:pPr>
          </w:p>
          <w:p w14:paraId="40ED7380" w14:textId="6BCED629" w:rsidR="00BD6C63" w:rsidRDefault="00BD6C63" w:rsidP="00C17A21">
            <w:pPr>
              <w:spacing w:line="252" w:lineRule="auto"/>
              <w:rPr>
                <w:rFonts w:ascii="Calibri" w:eastAsia="Times New Roman" w:hAnsi="Calibri" w:cs="Calibri"/>
                <w:bCs/>
                <w:lang w:eastAsia="fr-FR"/>
              </w:rPr>
            </w:pPr>
            <w:r>
              <w:rPr>
                <w:rFonts w:ascii="Calibri" w:eastAsia="Times New Roman" w:hAnsi="Calibri" w:cs="Calibri"/>
                <w:bCs/>
                <w:lang w:eastAsia="fr-FR"/>
              </w:rPr>
              <w:t>François Rioux</w:t>
            </w:r>
          </w:p>
          <w:p w14:paraId="06159F95" w14:textId="39CB223E" w:rsidR="009F267F" w:rsidRPr="00DC488F" w:rsidRDefault="009F267F" w:rsidP="00C17A21">
            <w:pPr>
              <w:spacing w:line="252" w:lineRule="auto"/>
              <w:rPr>
                <w:rFonts w:ascii="Calibri" w:eastAsia="Times New Roman" w:hAnsi="Calibri" w:cs="Calibri"/>
                <w:bCs/>
                <w:lang w:eastAsia="fr-FR"/>
              </w:rPr>
            </w:pPr>
            <w:r w:rsidRPr="00DC488F">
              <w:rPr>
                <w:rFonts w:ascii="Calibri" w:eastAsia="Times New Roman" w:hAnsi="Calibri" w:cs="Calibri"/>
                <w:bCs/>
                <w:lang w:eastAsia="fr-FR"/>
              </w:rPr>
              <w:t>Directeur général et greffier-trésorier</w:t>
            </w:r>
          </w:p>
        </w:tc>
      </w:tr>
    </w:tbl>
    <w:p w14:paraId="46EB2585" w14:textId="77777777" w:rsidR="00F3128B" w:rsidRPr="00DC488F" w:rsidRDefault="00F3128B" w:rsidP="00C17A21">
      <w:pPr>
        <w:spacing w:line="264" w:lineRule="auto"/>
        <w:rPr>
          <w:rFonts w:ascii="Calibri" w:hAnsi="Calibri" w:cs="Calibri"/>
          <w:b/>
          <w:u w:val="single"/>
        </w:rPr>
      </w:pPr>
    </w:p>
    <w:p w14:paraId="36495477" w14:textId="77777777" w:rsidR="00F3128B" w:rsidRPr="00DC488F" w:rsidRDefault="00F3128B" w:rsidP="00C17A21">
      <w:pPr>
        <w:spacing w:line="264" w:lineRule="auto"/>
        <w:rPr>
          <w:rFonts w:ascii="Calibri" w:hAnsi="Calibri" w:cs="Calibri"/>
          <w:b/>
          <w:u w:val="single"/>
        </w:rPr>
      </w:pPr>
    </w:p>
    <w:tbl>
      <w:tblPr>
        <w:tblStyle w:val="Grilledutableau"/>
        <w:tblW w:w="0" w:type="auto"/>
        <w:tblLook w:val="04A0" w:firstRow="1" w:lastRow="0" w:firstColumn="1" w:lastColumn="0" w:noHBand="0" w:noVBand="1"/>
      </w:tblPr>
      <w:tblGrid>
        <w:gridCol w:w="6384"/>
        <w:gridCol w:w="2246"/>
      </w:tblGrid>
      <w:tr w:rsidR="00FE2034" w:rsidRPr="00DC488F" w14:paraId="479AB28B" w14:textId="77777777" w:rsidTr="00FE2034">
        <w:tc>
          <w:tcPr>
            <w:tcW w:w="6384" w:type="dxa"/>
          </w:tcPr>
          <w:p w14:paraId="7D692AB1" w14:textId="77777777" w:rsidR="00FE2034" w:rsidRPr="00DC488F" w:rsidRDefault="00FE2034" w:rsidP="00F3128B">
            <w:pPr>
              <w:spacing w:before="60" w:after="60" w:line="252" w:lineRule="auto"/>
              <w:rPr>
                <w:rFonts w:ascii="Calibri" w:hAnsi="Calibri" w:cs="Calibri"/>
                <w:bCs/>
                <w:u w:val="single"/>
              </w:rPr>
            </w:pPr>
            <w:r w:rsidRPr="00DC488F">
              <w:rPr>
                <w:rFonts w:ascii="Calibri" w:hAnsi="Calibri" w:cs="Calibri"/>
                <w:bCs/>
              </w:rPr>
              <w:t>Avis de motion du premier projet de règlement</w:t>
            </w:r>
          </w:p>
        </w:tc>
        <w:tc>
          <w:tcPr>
            <w:tcW w:w="2246" w:type="dxa"/>
          </w:tcPr>
          <w:p w14:paraId="4697C62E" w14:textId="0C7EB4B9" w:rsidR="00FE2034" w:rsidRPr="00DC488F" w:rsidRDefault="00310669" w:rsidP="00F3128B">
            <w:pPr>
              <w:spacing w:before="60" w:after="60" w:line="252" w:lineRule="auto"/>
              <w:rPr>
                <w:rFonts w:ascii="Calibri" w:hAnsi="Calibri" w:cs="Calibri"/>
                <w:bCs/>
              </w:rPr>
            </w:pPr>
            <w:r w:rsidRPr="00DC488F">
              <w:rPr>
                <w:rFonts w:ascii="Calibri" w:hAnsi="Calibri" w:cs="Calibri"/>
                <w:bCs/>
              </w:rPr>
              <w:t>11 juin 2024</w:t>
            </w:r>
          </w:p>
        </w:tc>
      </w:tr>
      <w:tr w:rsidR="00FE2034" w:rsidRPr="00DC488F" w14:paraId="6F10D293" w14:textId="77777777" w:rsidTr="00FE2034">
        <w:tc>
          <w:tcPr>
            <w:tcW w:w="6384" w:type="dxa"/>
          </w:tcPr>
          <w:p w14:paraId="14C0648D" w14:textId="77777777" w:rsidR="00FE2034" w:rsidRPr="00DC488F" w:rsidRDefault="00FE2034" w:rsidP="00F3128B">
            <w:pPr>
              <w:spacing w:before="60" w:after="60" w:line="252" w:lineRule="auto"/>
              <w:rPr>
                <w:rFonts w:ascii="Calibri" w:hAnsi="Calibri" w:cs="Calibri"/>
                <w:bCs/>
              </w:rPr>
            </w:pPr>
            <w:r w:rsidRPr="00DC488F">
              <w:rPr>
                <w:rFonts w:ascii="Calibri" w:hAnsi="Calibri" w:cs="Calibri"/>
                <w:bCs/>
              </w:rPr>
              <w:t>Adoption du premier projet de règlement</w:t>
            </w:r>
          </w:p>
        </w:tc>
        <w:tc>
          <w:tcPr>
            <w:tcW w:w="2246" w:type="dxa"/>
          </w:tcPr>
          <w:p w14:paraId="33DE37D6" w14:textId="28C609CB" w:rsidR="00FE2034" w:rsidRPr="00DC488F" w:rsidRDefault="00310669" w:rsidP="00F3128B">
            <w:pPr>
              <w:spacing w:before="60" w:after="60" w:line="252" w:lineRule="auto"/>
              <w:rPr>
                <w:rFonts w:ascii="Calibri" w:hAnsi="Calibri" w:cs="Calibri"/>
                <w:bCs/>
              </w:rPr>
            </w:pPr>
            <w:r w:rsidRPr="00DC488F">
              <w:rPr>
                <w:rFonts w:ascii="Calibri" w:hAnsi="Calibri" w:cs="Calibri"/>
                <w:bCs/>
              </w:rPr>
              <w:t>11 juin 2024</w:t>
            </w:r>
          </w:p>
        </w:tc>
      </w:tr>
      <w:tr w:rsidR="00FE2034" w:rsidRPr="00DC488F" w14:paraId="4DE05E51" w14:textId="77777777" w:rsidTr="00FE2034">
        <w:tc>
          <w:tcPr>
            <w:tcW w:w="6384" w:type="dxa"/>
          </w:tcPr>
          <w:p w14:paraId="736B3654" w14:textId="77777777" w:rsidR="00FE2034" w:rsidRPr="00DC488F" w:rsidRDefault="00FE2034" w:rsidP="00F3128B">
            <w:pPr>
              <w:tabs>
                <w:tab w:val="left" w:pos="1778"/>
              </w:tabs>
              <w:spacing w:before="60" w:after="60" w:line="252" w:lineRule="auto"/>
              <w:rPr>
                <w:rFonts w:ascii="Calibri" w:hAnsi="Calibri" w:cs="Calibri"/>
                <w:bCs/>
              </w:rPr>
            </w:pPr>
            <w:r w:rsidRPr="00DC488F">
              <w:rPr>
                <w:rFonts w:ascii="Calibri" w:hAnsi="Calibri" w:cs="Calibri"/>
                <w:bCs/>
              </w:rPr>
              <w:t>Avis public d’une assemblée de consultation</w:t>
            </w:r>
          </w:p>
        </w:tc>
        <w:tc>
          <w:tcPr>
            <w:tcW w:w="2246" w:type="dxa"/>
          </w:tcPr>
          <w:p w14:paraId="73102821" w14:textId="52D38EAB" w:rsidR="00FE2034" w:rsidRPr="00DC488F" w:rsidRDefault="00310669" w:rsidP="00F3128B">
            <w:pPr>
              <w:spacing w:before="60" w:after="60" w:line="252" w:lineRule="auto"/>
              <w:rPr>
                <w:rFonts w:ascii="Calibri" w:hAnsi="Calibri" w:cs="Calibri"/>
                <w:bCs/>
              </w:rPr>
            </w:pPr>
            <w:r w:rsidRPr="00DC488F">
              <w:rPr>
                <w:rFonts w:ascii="Calibri" w:hAnsi="Calibri" w:cs="Calibri"/>
                <w:bCs/>
              </w:rPr>
              <w:t>18 juin 2024</w:t>
            </w:r>
          </w:p>
        </w:tc>
      </w:tr>
      <w:tr w:rsidR="00FE2034" w:rsidRPr="00DC488F" w14:paraId="60CAC504" w14:textId="77777777" w:rsidTr="00FE2034">
        <w:tc>
          <w:tcPr>
            <w:tcW w:w="6384" w:type="dxa"/>
          </w:tcPr>
          <w:p w14:paraId="338F2BA8" w14:textId="77777777" w:rsidR="00FE2034" w:rsidRPr="00DC488F" w:rsidRDefault="00FE2034" w:rsidP="00F3128B">
            <w:pPr>
              <w:spacing w:before="60" w:after="60" w:line="252" w:lineRule="auto"/>
              <w:rPr>
                <w:rFonts w:ascii="Calibri" w:hAnsi="Calibri" w:cs="Calibri"/>
                <w:bCs/>
              </w:rPr>
            </w:pPr>
            <w:r w:rsidRPr="00DC488F">
              <w:rPr>
                <w:rFonts w:ascii="Calibri" w:hAnsi="Calibri" w:cs="Calibri"/>
                <w:bCs/>
              </w:rPr>
              <w:t>Assemblée publique de consultation</w:t>
            </w:r>
          </w:p>
        </w:tc>
        <w:tc>
          <w:tcPr>
            <w:tcW w:w="2246" w:type="dxa"/>
          </w:tcPr>
          <w:p w14:paraId="168AAAE5" w14:textId="255C2C55" w:rsidR="00FE2034" w:rsidRPr="00DC488F" w:rsidRDefault="00310669" w:rsidP="00F3128B">
            <w:pPr>
              <w:spacing w:before="60" w:after="60" w:line="252" w:lineRule="auto"/>
              <w:rPr>
                <w:rFonts w:ascii="Calibri" w:hAnsi="Calibri" w:cs="Calibri"/>
                <w:bCs/>
              </w:rPr>
            </w:pPr>
            <w:r w:rsidRPr="00DC488F">
              <w:rPr>
                <w:rFonts w:ascii="Calibri" w:hAnsi="Calibri" w:cs="Calibri"/>
                <w:bCs/>
              </w:rPr>
              <w:t>2 juillet 2024</w:t>
            </w:r>
          </w:p>
        </w:tc>
      </w:tr>
      <w:tr w:rsidR="00FE2034" w:rsidRPr="00DC488F" w14:paraId="5ECC4BB6" w14:textId="77777777" w:rsidTr="00FE2034">
        <w:tc>
          <w:tcPr>
            <w:tcW w:w="6384" w:type="dxa"/>
          </w:tcPr>
          <w:p w14:paraId="23086221" w14:textId="77777777" w:rsidR="00FE2034" w:rsidRPr="00DC488F" w:rsidRDefault="00FE2034" w:rsidP="00F3128B">
            <w:pPr>
              <w:spacing w:before="60" w:after="60" w:line="252" w:lineRule="auto"/>
              <w:rPr>
                <w:rFonts w:ascii="Calibri" w:hAnsi="Calibri" w:cs="Calibri"/>
                <w:bCs/>
              </w:rPr>
            </w:pPr>
            <w:r w:rsidRPr="00DC488F">
              <w:rPr>
                <w:rFonts w:ascii="Calibri" w:hAnsi="Calibri" w:cs="Calibri"/>
                <w:bCs/>
              </w:rPr>
              <w:t xml:space="preserve">Adoption du règlement </w:t>
            </w:r>
          </w:p>
        </w:tc>
        <w:tc>
          <w:tcPr>
            <w:tcW w:w="2246" w:type="dxa"/>
          </w:tcPr>
          <w:p w14:paraId="13A93E6B" w14:textId="12BA7EC6" w:rsidR="00FE2034" w:rsidRPr="00DC488F" w:rsidRDefault="009C0D57" w:rsidP="00F3128B">
            <w:pPr>
              <w:spacing w:before="60" w:after="60" w:line="252" w:lineRule="auto"/>
              <w:rPr>
                <w:rFonts w:ascii="Calibri" w:hAnsi="Calibri" w:cs="Calibri"/>
                <w:bCs/>
              </w:rPr>
            </w:pPr>
            <w:r>
              <w:rPr>
                <w:rFonts w:ascii="Calibri" w:hAnsi="Calibri" w:cs="Calibri"/>
                <w:bCs/>
              </w:rPr>
              <w:t>9 juillet 2024</w:t>
            </w:r>
          </w:p>
        </w:tc>
      </w:tr>
      <w:tr w:rsidR="00FE2034" w:rsidRPr="00DC488F" w14:paraId="3B9E38AF" w14:textId="77777777" w:rsidTr="00FE2034">
        <w:tc>
          <w:tcPr>
            <w:tcW w:w="6384" w:type="dxa"/>
          </w:tcPr>
          <w:p w14:paraId="5E8171D6" w14:textId="77777777" w:rsidR="00FE2034" w:rsidRPr="00DC488F" w:rsidRDefault="00FE2034" w:rsidP="00F3128B">
            <w:pPr>
              <w:spacing w:before="60" w:after="60" w:line="252" w:lineRule="auto"/>
              <w:rPr>
                <w:rFonts w:ascii="Calibri" w:hAnsi="Calibri" w:cs="Calibri"/>
                <w:bCs/>
              </w:rPr>
            </w:pPr>
            <w:r w:rsidRPr="00DC488F">
              <w:rPr>
                <w:rFonts w:ascii="Calibri" w:hAnsi="Calibri" w:cs="Calibri"/>
                <w:bCs/>
              </w:rPr>
              <w:t xml:space="preserve">Transmission à la MRC </w:t>
            </w:r>
          </w:p>
        </w:tc>
        <w:tc>
          <w:tcPr>
            <w:tcW w:w="2246" w:type="dxa"/>
          </w:tcPr>
          <w:p w14:paraId="26F90E16" w14:textId="77777777" w:rsidR="00FE2034" w:rsidRPr="00DC488F" w:rsidRDefault="00FE2034" w:rsidP="00F3128B">
            <w:pPr>
              <w:spacing w:before="60" w:after="60" w:line="252" w:lineRule="auto"/>
              <w:rPr>
                <w:rFonts w:ascii="Calibri" w:hAnsi="Calibri" w:cs="Calibri"/>
                <w:bCs/>
              </w:rPr>
            </w:pPr>
          </w:p>
        </w:tc>
      </w:tr>
      <w:tr w:rsidR="00FE2034" w:rsidRPr="00DC488F" w14:paraId="610CA63E" w14:textId="77777777" w:rsidTr="00FE2034">
        <w:tc>
          <w:tcPr>
            <w:tcW w:w="6384" w:type="dxa"/>
          </w:tcPr>
          <w:p w14:paraId="3FF1717C" w14:textId="77777777" w:rsidR="00FE2034" w:rsidRPr="00DC488F" w:rsidRDefault="00FE2034" w:rsidP="00F3128B">
            <w:pPr>
              <w:spacing w:before="60" w:after="60" w:line="252" w:lineRule="auto"/>
              <w:rPr>
                <w:rFonts w:ascii="Calibri" w:hAnsi="Calibri" w:cs="Calibri"/>
                <w:bCs/>
              </w:rPr>
            </w:pPr>
            <w:r w:rsidRPr="00DC488F">
              <w:rPr>
                <w:rFonts w:ascii="Calibri" w:hAnsi="Calibri" w:cs="Calibri"/>
                <w:bCs/>
              </w:rPr>
              <w:t xml:space="preserve">Réception du certificat de conformité </w:t>
            </w:r>
          </w:p>
        </w:tc>
        <w:tc>
          <w:tcPr>
            <w:tcW w:w="2246" w:type="dxa"/>
          </w:tcPr>
          <w:p w14:paraId="2C9B68B5" w14:textId="77777777" w:rsidR="00FE2034" w:rsidRPr="00DC488F" w:rsidRDefault="00FE2034" w:rsidP="00F3128B">
            <w:pPr>
              <w:spacing w:before="60" w:after="60" w:line="252" w:lineRule="auto"/>
              <w:rPr>
                <w:rFonts w:ascii="Calibri" w:hAnsi="Calibri" w:cs="Calibri"/>
                <w:bCs/>
              </w:rPr>
            </w:pPr>
          </w:p>
        </w:tc>
      </w:tr>
      <w:tr w:rsidR="00FE2034" w:rsidRPr="00DC488F" w14:paraId="2F25698F" w14:textId="77777777" w:rsidTr="00FE2034">
        <w:tc>
          <w:tcPr>
            <w:tcW w:w="6384" w:type="dxa"/>
          </w:tcPr>
          <w:p w14:paraId="3D528518" w14:textId="77777777" w:rsidR="00FE2034" w:rsidRPr="00DC488F" w:rsidRDefault="00FE2034" w:rsidP="00F3128B">
            <w:pPr>
              <w:spacing w:before="60" w:after="60" w:line="252" w:lineRule="auto"/>
              <w:rPr>
                <w:rFonts w:ascii="Calibri" w:hAnsi="Calibri" w:cs="Calibri"/>
                <w:bCs/>
              </w:rPr>
            </w:pPr>
            <w:r w:rsidRPr="00DC488F">
              <w:rPr>
                <w:rFonts w:ascii="Calibri" w:hAnsi="Calibri" w:cs="Calibri"/>
                <w:bCs/>
              </w:rPr>
              <w:t>Affichage de l’avis d’entrée en vigueur</w:t>
            </w:r>
          </w:p>
        </w:tc>
        <w:tc>
          <w:tcPr>
            <w:tcW w:w="2246" w:type="dxa"/>
          </w:tcPr>
          <w:p w14:paraId="21C8CB21" w14:textId="77777777" w:rsidR="00FE2034" w:rsidRPr="00DC488F" w:rsidRDefault="00FE2034" w:rsidP="00F3128B">
            <w:pPr>
              <w:spacing w:before="60" w:after="60" w:line="252" w:lineRule="auto"/>
              <w:rPr>
                <w:rFonts w:ascii="Calibri" w:hAnsi="Calibri" w:cs="Calibri"/>
                <w:bCs/>
              </w:rPr>
            </w:pPr>
          </w:p>
        </w:tc>
      </w:tr>
    </w:tbl>
    <w:p w14:paraId="6A1A07D6" w14:textId="77777777" w:rsidR="00595742" w:rsidRPr="00DC488F" w:rsidRDefault="00595742" w:rsidP="00F3128B">
      <w:pPr>
        <w:spacing w:line="252" w:lineRule="auto"/>
        <w:rPr>
          <w:rFonts w:ascii="Calibri" w:hAnsi="Calibri" w:cs="Calibri"/>
        </w:rPr>
      </w:pPr>
    </w:p>
    <w:sectPr w:rsidR="00595742" w:rsidRPr="00DC488F" w:rsidSect="00B86171">
      <w:pgSz w:w="12240" w:h="20160" w:code="5"/>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7A54"/>
    <w:multiLevelType w:val="singleLevel"/>
    <w:tmpl w:val="FFBA2C4A"/>
    <w:lvl w:ilvl="0">
      <w:start w:val="17"/>
      <w:numFmt w:val="decimal"/>
      <w:pStyle w:val="Article"/>
      <w:lvlText w:val="%1."/>
      <w:lvlJc w:val="left"/>
      <w:pPr>
        <w:tabs>
          <w:tab w:val="num" w:pos="862"/>
        </w:tabs>
        <w:ind w:left="862" w:hanging="720"/>
      </w:pPr>
      <w:rPr>
        <w:rFonts w:hint="default"/>
        <w:b/>
      </w:rPr>
    </w:lvl>
  </w:abstractNum>
  <w:abstractNum w:abstractNumId="1" w15:restartNumberingAfterBreak="0">
    <w:nsid w:val="5FA62AE1"/>
    <w:multiLevelType w:val="hybridMultilevel"/>
    <w:tmpl w:val="5FCEEDE8"/>
    <w:lvl w:ilvl="0" w:tplc="88D6F270">
      <w:start w:val="1"/>
      <w:numFmt w:val="decimal"/>
      <w:pStyle w:val="TM8"/>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84757413">
    <w:abstractNumId w:val="1"/>
  </w:num>
  <w:num w:numId="2" w16cid:durableId="1164053088">
    <w:abstractNumId w:val="1"/>
    <w:lvlOverride w:ilvl="0">
      <w:startOverride w:val="1"/>
    </w:lvlOverride>
  </w:num>
  <w:num w:numId="3" w16cid:durableId="1222054982">
    <w:abstractNumId w:val="0"/>
  </w:num>
  <w:num w:numId="4" w16cid:durableId="1872378575">
    <w:abstractNumId w:val="0"/>
  </w:num>
  <w:num w:numId="5" w16cid:durableId="835731310">
    <w:abstractNumId w:val="0"/>
  </w:num>
  <w:num w:numId="6" w16cid:durableId="1854151971">
    <w:abstractNumId w:val="0"/>
    <w:lvlOverride w:ilvl="0">
      <w:startOverride w:val="1"/>
    </w:lvlOverride>
  </w:num>
  <w:num w:numId="7" w16cid:durableId="1187718070">
    <w:abstractNumId w:val="0"/>
    <w:lvlOverride w:ilvl="0">
      <w:startOverride w:val="1"/>
    </w:lvlOverride>
  </w:num>
  <w:num w:numId="8" w16cid:durableId="1033044065">
    <w:abstractNumId w:val="0"/>
    <w:lvlOverride w:ilvl="0">
      <w:startOverride w:val="2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2D"/>
    <w:rsid w:val="000E6FCD"/>
    <w:rsid w:val="0013301C"/>
    <w:rsid w:val="002640B7"/>
    <w:rsid w:val="0027737F"/>
    <w:rsid w:val="002B242D"/>
    <w:rsid w:val="002D7E3F"/>
    <w:rsid w:val="00310669"/>
    <w:rsid w:val="0038319F"/>
    <w:rsid w:val="00385E50"/>
    <w:rsid w:val="003B669F"/>
    <w:rsid w:val="00515DCE"/>
    <w:rsid w:val="005475D8"/>
    <w:rsid w:val="005623E5"/>
    <w:rsid w:val="00595742"/>
    <w:rsid w:val="005F70E0"/>
    <w:rsid w:val="00675906"/>
    <w:rsid w:val="006765DF"/>
    <w:rsid w:val="006F12A2"/>
    <w:rsid w:val="00854AE5"/>
    <w:rsid w:val="0089029F"/>
    <w:rsid w:val="008F0767"/>
    <w:rsid w:val="00962FFF"/>
    <w:rsid w:val="009C0D57"/>
    <w:rsid w:val="009F267F"/>
    <w:rsid w:val="009F2ABE"/>
    <w:rsid w:val="00AB4798"/>
    <w:rsid w:val="00B02AD9"/>
    <w:rsid w:val="00B72AE8"/>
    <w:rsid w:val="00B86171"/>
    <w:rsid w:val="00BD6C63"/>
    <w:rsid w:val="00C17A21"/>
    <w:rsid w:val="00C67795"/>
    <w:rsid w:val="00CB38EA"/>
    <w:rsid w:val="00DC488F"/>
    <w:rsid w:val="00DD5032"/>
    <w:rsid w:val="00E54D0C"/>
    <w:rsid w:val="00EB7C9B"/>
    <w:rsid w:val="00F3128B"/>
    <w:rsid w:val="00F86A3F"/>
    <w:rsid w:val="00FA6E27"/>
    <w:rsid w:val="00FC4F08"/>
    <w:rsid w:val="00FD2CB0"/>
    <w:rsid w:val="00FE2034"/>
    <w:rsid w:val="00FF76A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083C"/>
  <w15:chartTrackingRefBased/>
  <w15:docId w15:val="{317E53F7-75A7-4CD3-A940-A06808B3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2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B2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B242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B242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B242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B242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B242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B242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B242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B242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B242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B242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B242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B242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B242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B242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B242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B242D"/>
    <w:rPr>
      <w:rFonts w:eastAsiaTheme="majorEastAsia" w:cstheme="majorBidi"/>
      <w:color w:val="272727" w:themeColor="text1" w:themeTint="D8"/>
    </w:rPr>
  </w:style>
  <w:style w:type="paragraph" w:styleId="Titre">
    <w:name w:val="Title"/>
    <w:basedOn w:val="Normal"/>
    <w:next w:val="Normal"/>
    <w:link w:val="TitreCar"/>
    <w:uiPriority w:val="10"/>
    <w:qFormat/>
    <w:rsid w:val="002B2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B242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B242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B242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B242D"/>
    <w:pPr>
      <w:spacing w:before="160"/>
      <w:jc w:val="center"/>
    </w:pPr>
    <w:rPr>
      <w:i/>
      <w:iCs/>
      <w:color w:val="404040" w:themeColor="text1" w:themeTint="BF"/>
    </w:rPr>
  </w:style>
  <w:style w:type="character" w:customStyle="1" w:styleId="CitationCar">
    <w:name w:val="Citation Car"/>
    <w:basedOn w:val="Policepardfaut"/>
    <w:link w:val="Citation"/>
    <w:uiPriority w:val="29"/>
    <w:rsid w:val="002B242D"/>
    <w:rPr>
      <w:i/>
      <w:iCs/>
      <w:color w:val="404040" w:themeColor="text1" w:themeTint="BF"/>
    </w:rPr>
  </w:style>
  <w:style w:type="paragraph" w:styleId="Paragraphedeliste">
    <w:name w:val="List Paragraph"/>
    <w:basedOn w:val="Normal"/>
    <w:uiPriority w:val="34"/>
    <w:qFormat/>
    <w:rsid w:val="002B242D"/>
    <w:pPr>
      <w:ind w:left="720"/>
      <w:contextualSpacing/>
    </w:pPr>
  </w:style>
  <w:style w:type="character" w:styleId="Accentuationintense">
    <w:name w:val="Intense Emphasis"/>
    <w:basedOn w:val="Policepardfaut"/>
    <w:uiPriority w:val="21"/>
    <w:qFormat/>
    <w:rsid w:val="002B242D"/>
    <w:rPr>
      <w:i/>
      <w:iCs/>
      <w:color w:val="0F4761" w:themeColor="accent1" w:themeShade="BF"/>
    </w:rPr>
  </w:style>
  <w:style w:type="paragraph" w:styleId="Citationintense">
    <w:name w:val="Intense Quote"/>
    <w:basedOn w:val="Normal"/>
    <w:next w:val="Normal"/>
    <w:link w:val="CitationintenseCar"/>
    <w:uiPriority w:val="30"/>
    <w:qFormat/>
    <w:rsid w:val="002B2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B242D"/>
    <w:rPr>
      <w:i/>
      <w:iCs/>
      <w:color w:val="0F4761" w:themeColor="accent1" w:themeShade="BF"/>
    </w:rPr>
  </w:style>
  <w:style w:type="character" w:styleId="Rfrenceintense">
    <w:name w:val="Intense Reference"/>
    <w:basedOn w:val="Policepardfaut"/>
    <w:uiPriority w:val="32"/>
    <w:qFormat/>
    <w:rsid w:val="002B242D"/>
    <w:rPr>
      <w:b/>
      <w:bCs/>
      <w:smallCaps/>
      <w:color w:val="0F4761" w:themeColor="accent1" w:themeShade="BF"/>
      <w:spacing w:val="5"/>
    </w:rPr>
  </w:style>
  <w:style w:type="paragraph" w:customStyle="1" w:styleId="Paragraphe">
    <w:name w:val="Paragraphe"/>
    <w:basedOn w:val="Normal"/>
    <w:uiPriority w:val="99"/>
    <w:rsid w:val="002B242D"/>
    <w:pPr>
      <w:spacing w:after="280" w:line="288" w:lineRule="auto"/>
      <w:jc w:val="both"/>
    </w:pPr>
    <w:rPr>
      <w:rFonts w:ascii="Times New Roman" w:eastAsia="Times New Roman" w:hAnsi="Times New Roman" w:cs="Times New Roman"/>
      <w:spacing w:val="-5"/>
      <w:kern w:val="0"/>
      <w:sz w:val="24"/>
      <w:szCs w:val="24"/>
      <w:lang w:val="fr-FR" w:eastAsia="fr-FR"/>
      <w14:ligatures w14:val="none"/>
    </w:rPr>
  </w:style>
  <w:style w:type="paragraph" w:styleId="TM8">
    <w:name w:val="toc 8"/>
    <w:basedOn w:val="Normal"/>
    <w:next w:val="Normal"/>
    <w:autoRedefine/>
    <w:uiPriority w:val="39"/>
    <w:rsid w:val="002B242D"/>
    <w:pPr>
      <w:numPr>
        <w:numId w:val="1"/>
      </w:numPr>
      <w:spacing w:after="0" w:line="240" w:lineRule="auto"/>
      <w:jc w:val="both"/>
    </w:pPr>
    <w:rPr>
      <w:rFonts w:ascii="Times New Roman" w:eastAsia="Times New Roman" w:hAnsi="Times New Roman" w:cs="Times New Roman"/>
      <w:spacing w:val="-5"/>
      <w:kern w:val="0"/>
      <w:sz w:val="24"/>
      <w:szCs w:val="24"/>
      <w:lang w:val="fr-FR" w:eastAsia="fr-FR"/>
      <w14:ligatures w14:val="none"/>
    </w:rPr>
  </w:style>
  <w:style w:type="paragraph" w:customStyle="1" w:styleId="Article">
    <w:name w:val="Article"/>
    <w:basedOn w:val="Normal"/>
    <w:link w:val="ArticleCar"/>
    <w:rsid w:val="002B242D"/>
    <w:pPr>
      <w:numPr>
        <w:numId w:val="3"/>
      </w:numPr>
      <w:tabs>
        <w:tab w:val="left" w:pos="709"/>
      </w:tabs>
      <w:spacing w:after="280" w:line="288" w:lineRule="auto"/>
      <w:jc w:val="both"/>
    </w:pPr>
    <w:rPr>
      <w:rFonts w:ascii="Times New Roman" w:eastAsia="Times New Roman" w:hAnsi="Times New Roman" w:cs="Times New Roman"/>
      <w:b/>
      <w:bCs/>
      <w:caps/>
      <w:spacing w:val="-5"/>
      <w:kern w:val="0"/>
      <w:sz w:val="24"/>
      <w:szCs w:val="24"/>
      <w:lang w:val="fr-FR" w:eastAsia="fr-FR"/>
      <w14:ligatures w14:val="none"/>
    </w:rPr>
  </w:style>
  <w:style w:type="paragraph" w:customStyle="1" w:styleId="Alina">
    <w:name w:val="Alinéa"/>
    <w:basedOn w:val="Normal"/>
    <w:rsid w:val="002B242D"/>
    <w:pPr>
      <w:spacing w:after="280" w:line="288" w:lineRule="auto"/>
      <w:ind w:left="720"/>
      <w:jc w:val="both"/>
    </w:pPr>
    <w:rPr>
      <w:rFonts w:ascii="Times New Roman" w:eastAsia="Times New Roman" w:hAnsi="Times New Roman" w:cs="Times New Roman"/>
      <w:spacing w:val="-5"/>
      <w:kern w:val="0"/>
      <w:sz w:val="24"/>
      <w:szCs w:val="24"/>
      <w:lang w:val="fr-FR" w:eastAsia="fr-FR"/>
      <w14:ligatures w14:val="none"/>
    </w:rPr>
  </w:style>
  <w:style w:type="character" w:customStyle="1" w:styleId="ArticleCar">
    <w:name w:val="Article Car"/>
    <w:link w:val="Article"/>
    <w:locked/>
    <w:rsid w:val="002B242D"/>
    <w:rPr>
      <w:rFonts w:ascii="Times New Roman" w:eastAsia="Times New Roman" w:hAnsi="Times New Roman" w:cs="Times New Roman"/>
      <w:b/>
      <w:bCs/>
      <w:caps/>
      <w:spacing w:val="-5"/>
      <w:kern w:val="0"/>
      <w:sz w:val="24"/>
      <w:szCs w:val="24"/>
      <w:lang w:val="fr-FR" w:eastAsia="fr-FR"/>
      <w14:ligatures w14:val="none"/>
    </w:rPr>
  </w:style>
  <w:style w:type="paragraph" w:styleId="Rvision">
    <w:name w:val="Revision"/>
    <w:hidden/>
    <w:uiPriority w:val="99"/>
    <w:semiHidden/>
    <w:rsid w:val="002B242D"/>
    <w:pPr>
      <w:spacing w:after="0" w:line="240" w:lineRule="auto"/>
    </w:pPr>
  </w:style>
  <w:style w:type="table" w:styleId="Grilledutableau">
    <w:name w:val="Table Grid"/>
    <w:basedOn w:val="TableauNormal"/>
    <w:uiPriority w:val="39"/>
    <w:rsid w:val="009F267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974</Words>
  <Characters>5363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Rioux</dc:creator>
  <cp:keywords/>
  <dc:description/>
  <cp:lastModifiedBy>Louise Poulin</cp:lastModifiedBy>
  <cp:revision>13</cp:revision>
  <cp:lastPrinted>2024-07-10T15:17:00Z</cp:lastPrinted>
  <dcterms:created xsi:type="dcterms:W3CDTF">2024-06-26T14:39:00Z</dcterms:created>
  <dcterms:modified xsi:type="dcterms:W3CDTF">2024-07-10T15:19:00Z</dcterms:modified>
</cp:coreProperties>
</file>