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65374C3B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D363EB">
        <w:rPr>
          <w:rFonts w:asciiTheme="minorHAnsi" w:hAnsiTheme="minorHAnsi" w:cs="Arial"/>
          <w:bCs/>
          <w:i/>
          <w:lang w:val="en-CA"/>
        </w:rPr>
        <w:t xml:space="preserve"> </w:t>
      </w:r>
      <w:r w:rsidR="002922D1">
        <w:rPr>
          <w:rFonts w:asciiTheme="minorHAnsi" w:hAnsiTheme="minorHAnsi" w:cs="Arial"/>
          <w:bCs/>
          <w:i/>
          <w:lang w:val="en-CA"/>
        </w:rPr>
        <w:t>MAY 14, 2024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2B3655">
        <w:rPr>
          <w:rFonts w:cs="Arial"/>
          <w:b/>
        </w:rPr>
        <w:t>Opening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0F06F47F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</w:t>
      </w:r>
      <w:r w:rsidR="004372ED" w:rsidRPr="004372ED">
        <w:rPr>
          <w:rFonts w:cstheme="minorHAnsi"/>
          <w:color w:val="212121"/>
          <w:shd w:val="clear" w:color="auto" w:fill="FFFFFF"/>
          <w:lang w:val="en-CA"/>
        </w:rPr>
        <w:t>of the minutes of the regular meeting of the municipal council held on April 9, 2024 and of the special meeting of the municipal council held on April 17, 202</w:t>
      </w:r>
      <w:r w:rsidR="004372ED">
        <w:rPr>
          <w:rFonts w:cstheme="minorHAnsi"/>
          <w:color w:val="212121"/>
          <w:shd w:val="clear" w:color="auto" w:fill="FFFFFF"/>
          <w:lang w:val="en-CA"/>
        </w:rPr>
        <w:t>4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02DB1542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2922D1">
        <w:rPr>
          <w:rFonts w:cstheme="minorHAnsi"/>
          <w:b/>
          <w:color w:val="212121"/>
          <w:lang w:val="en"/>
        </w:rPr>
        <w:t>May 14,</w:t>
      </w:r>
      <w:r w:rsidR="00D2038A">
        <w:rPr>
          <w:rFonts w:cstheme="minorHAnsi"/>
          <w:b/>
          <w:color w:val="212121"/>
          <w:lang w:val="en"/>
        </w:rPr>
        <w:t xml:space="preserve"> 202</w:t>
      </w:r>
      <w:r w:rsidR="00D363EB">
        <w:rPr>
          <w:rFonts w:cstheme="minorHAnsi"/>
          <w:b/>
          <w:color w:val="212121"/>
          <w:lang w:val="en"/>
        </w:rPr>
        <w:t>4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="002922D1">
        <w:rPr>
          <w:rFonts w:cstheme="minorHAnsi"/>
          <w:color w:val="212121"/>
          <w:lang w:val="en"/>
        </w:rPr>
        <w:t>Municipal</w:t>
      </w:r>
      <w:r w:rsidRPr="004C7F13">
        <w:rPr>
          <w:rFonts w:cstheme="minorHAnsi"/>
          <w:color w:val="212121"/>
          <w:lang w:val="en"/>
        </w:rPr>
        <w:t xml:space="preserve"> Council approves the payment of the accounts listed on the suggested list as at </w:t>
      </w:r>
      <w:r w:rsidR="002922D1">
        <w:rPr>
          <w:rFonts w:cstheme="minorHAnsi"/>
          <w:color w:val="212121"/>
          <w:lang w:val="en"/>
        </w:rPr>
        <w:t>May 14, 2024,</w:t>
      </w:r>
      <w:r w:rsidRPr="004C7F13">
        <w:rPr>
          <w:rFonts w:cstheme="minorHAnsi"/>
          <w:color w:val="212121"/>
          <w:lang w:val="en"/>
        </w:rPr>
        <w:t xml:space="preserve"> in the amount of $</w:t>
      </w:r>
      <w:r w:rsidR="005B6042">
        <w:rPr>
          <w:rFonts w:cstheme="minorHAnsi"/>
          <w:color w:val="212121"/>
          <w:lang w:val="en"/>
        </w:rPr>
        <w:t>5</w:t>
      </w:r>
      <w:r w:rsidR="00F312C8">
        <w:rPr>
          <w:rFonts w:cstheme="minorHAnsi"/>
          <w:color w:val="212121"/>
          <w:lang w:val="en"/>
        </w:rPr>
        <w:t>46 165.80</w:t>
      </w:r>
    </w:p>
    <w:p w14:paraId="7723F220" w14:textId="77777777" w:rsidR="002922D1" w:rsidRPr="002922D1" w:rsidRDefault="004C7F13" w:rsidP="002922D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922D1">
        <w:rPr>
          <w:b/>
          <w:lang w:val="en"/>
        </w:rPr>
        <w:t xml:space="preserve">Authorization to Pay Invoices of </w:t>
      </w:r>
      <w:r w:rsidR="00C162AE" w:rsidRPr="002922D1">
        <w:rPr>
          <w:b/>
          <w:lang w:val="en"/>
        </w:rPr>
        <w:t>More Than $10</w:t>
      </w:r>
      <w:r w:rsidRPr="002922D1">
        <w:rPr>
          <w:b/>
          <w:lang w:val="en"/>
        </w:rPr>
        <w:t>,000.00</w:t>
      </w:r>
      <w:r w:rsidR="002C1772" w:rsidRPr="002922D1">
        <w:rPr>
          <w:b/>
          <w:lang w:val="en"/>
        </w:rPr>
        <w:t xml:space="preserve"> </w:t>
      </w:r>
    </w:p>
    <w:p w14:paraId="3879A636" w14:textId="77777777" w:rsidR="001D3019" w:rsidRPr="001D3019" w:rsidRDefault="001D3019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D3019">
        <w:rPr>
          <w:rFonts w:cs="Arial"/>
          <w:lang w:val="en-CA"/>
        </w:rPr>
        <w:t>-invoice number 1309 in the amount of $34,788.22, including applicable taxes, presented by Transport Sanitaire Hayes for the collection of residual materials;</w:t>
      </w:r>
    </w:p>
    <w:p w14:paraId="2DEA31E5" w14:textId="77777777" w:rsidR="001D3019" w:rsidRPr="001D3019" w:rsidRDefault="001D3019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D3019">
        <w:rPr>
          <w:rFonts w:cs="Arial"/>
          <w:lang w:val="en-CA"/>
        </w:rPr>
        <w:t>-invoice number S505157 in the amount of $13,276.16, including applicable taxes, presented by Budget Propane for the installation of a heating system in the municipal garage and fire station 1;</w:t>
      </w:r>
    </w:p>
    <w:p w14:paraId="0C88F496" w14:textId="77777777" w:rsidR="001D3019" w:rsidRPr="001D3019" w:rsidRDefault="001D3019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D3019">
        <w:rPr>
          <w:rFonts w:cs="Arial"/>
          <w:lang w:val="en-CA"/>
        </w:rPr>
        <w:t>-invoice number 2023-000829 in the amount of $12,688.48, including applicable taxes, presented by the MRC d'Argenteuil for fire safety training costs for the year 2023;</w:t>
      </w:r>
    </w:p>
    <w:p w14:paraId="7D1BE286" w14:textId="77777777" w:rsidR="001D3019" w:rsidRPr="001D3019" w:rsidRDefault="001D3019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D3019">
        <w:rPr>
          <w:rFonts w:cs="Arial"/>
          <w:lang w:val="en-CA"/>
        </w:rPr>
        <w:t>-invoice number CDHSI-00078 in the amount of $31,335.29, including applicable taxes, presented by Clôture des Hauteurs for the installation of a sliding barrier at the municipal garage and fire station 1;</w:t>
      </w:r>
    </w:p>
    <w:p w14:paraId="31CE2C30" w14:textId="77777777" w:rsidR="001D3019" w:rsidRPr="001D3019" w:rsidRDefault="001D3019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D3019">
        <w:rPr>
          <w:rFonts w:cs="Arial"/>
          <w:lang w:val="en-CA"/>
        </w:rPr>
        <w:t>-invoice number 7244 in the amount of $18,689.90, including applicable taxes, presented by the law firm Sarrazin-Plourde for professional services;</w:t>
      </w:r>
    </w:p>
    <w:p w14:paraId="4D81EA81" w14:textId="77777777" w:rsidR="001D3019" w:rsidRPr="001D3019" w:rsidRDefault="001D3019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D3019">
        <w:rPr>
          <w:rFonts w:cs="Arial"/>
          <w:lang w:val="en-CA"/>
        </w:rPr>
        <w:t>-invoice number 1022457 in the amount of $40,045.79, including applicable taxes, presented by Somatech for the geotechnical study of the 2024 road projects;</w:t>
      </w:r>
    </w:p>
    <w:p w14:paraId="6C3226A9" w14:textId="2AFCA10F" w:rsidR="002922D1" w:rsidRDefault="001D3019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D3019">
        <w:rPr>
          <w:rFonts w:cs="Arial"/>
          <w:lang w:val="en-CA"/>
        </w:rPr>
        <w:t>-invoice number 474279 in the amount of $105,882.78, including applicable taxes, presented by USD Global for composting bins</w:t>
      </w:r>
      <w:r w:rsidR="001436A1">
        <w:rPr>
          <w:rFonts w:cs="Arial"/>
          <w:lang w:val="en-CA"/>
        </w:rPr>
        <w:t>;</w:t>
      </w:r>
    </w:p>
    <w:p w14:paraId="0D597F63" w14:textId="6CA96C02" w:rsidR="001436A1" w:rsidRDefault="001436A1" w:rsidP="001D3019">
      <w:pPr>
        <w:pStyle w:val="Sansinterligne"/>
        <w:spacing w:after="180"/>
        <w:ind w:left="1134"/>
        <w:rPr>
          <w:rFonts w:cs="Arial"/>
          <w:lang w:val="en-CA"/>
        </w:rPr>
      </w:pPr>
      <w:r w:rsidRPr="001436A1">
        <w:rPr>
          <w:rFonts w:cs="Arial"/>
          <w:lang w:val="en-CA"/>
        </w:rPr>
        <w:t>- invoices for the months of February, March and April 2024, in the total amount of $21,663.23, including applicable taxes, presented by Desjardins Assurances for the payment of group insurance premiums.</w:t>
      </w:r>
    </w:p>
    <w:p w14:paraId="6F3075C9" w14:textId="62B37275" w:rsidR="004C7F13" w:rsidRDefault="001D301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D3019">
        <w:rPr>
          <w:rFonts w:cs="Arial"/>
          <w:lang w:val="en-CA"/>
        </w:rPr>
        <w:t>Authorization to renew term savings investments for one year with guaranteed capital</w:t>
      </w:r>
    </w:p>
    <w:p w14:paraId="31239FA0" w14:textId="188D23AD" w:rsidR="0082200D" w:rsidRDefault="001D301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D3019">
        <w:rPr>
          <w:rFonts w:cs="Arial"/>
          <w:lang w:val="en-CA"/>
        </w:rPr>
        <w:t>Authorization to close term savings accounts with a balance less than $500</w:t>
      </w:r>
    </w:p>
    <w:p w14:paraId="4ADF18F2" w14:textId="4B2B4605" w:rsidR="001D3019" w:rsidRDefault="001D301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D3019">
        <w:rPr>
          <w:rFonts w:cs="Arial"/>
          <w:lang w:val="en-CA"/>
        </w:rPr>
        <w:t>Authorization to pay amounts owed to the Canada Revenue Agency for the years 2018 and 2021</w:t>
      </w:r>
    </w:p>
    <w:p w14:paraId="244F56E5" w14:textId="342D0046" w:rsidR="001D3019" w:rsidRDefault="001D301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D3019">
        <w:rPr>
          <w:rFonts w:cs="Arial"/>
          <w:lang w:val="en-CA"/>
        </w:rPr>
        <w:t>Petty Cash Fund</w:t>
      </w:r>
    </w:p>
    <w:p w14:paraId="159234A0" w14:textId="510E9B2D" w:rsidR="001D3019" w:rsidRDefault="001D301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D3019">
        <w:rPr>
          <w:rFonts w:cs="Arial"/>
          <w:lang w:val="en-CA"/>
        </w:rPr>
        <w:t>Membership in MonEspace CNESST – Membership in direct deposit – Appointment of representatives</w:t>
      </w:r>
    </w:p>
    <w:p w14:paraId="6CD3E0A8" w14:textId="64A2103F" w:rsidR="001D3019" w:rsidRDefault="0011391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13915">
        <w:rPr>
          <w:rFonts w:cs="Arial"/>
          <w:lang w:val="en-CA"/>
        </w:rPr>
        <w:lastRenderedPageBreak/>
        <w:t>Granting of service offers for outsourcing, taxation, license</w:t>
      </w:r>
      <w:r w:rsidR="000D64FC">
        <w:rPr>
          <w:rFonts w:cs="Arial"/>
          <w:lang w:val="en-CA"/>
        </w:rPr>
        <w:t>s</w:t>
      </w:r>
      <w:r w:rsidRPr="00113915">
        <w:rPr>
          <w:rFonts w:cs="Arial"/>
          <w:lang w:val="en-CA"/>
        </w:rPr>
        <w:t xml:space="preserve"> - PG Solutions</w:t>
      </w:r>
    </w:p>
    <w:p w14:paraId="1912E606" w14:textId="241A0B02" w:rsidR="00113915" w:rsidRDefault="0011391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13915">
        <w:rPr>
          <w:rFonts w:cs="Arial"/>
          <w:lang w:val="en-CA"/>
        </w:rPr>
        <w:t>Cancellation of the Chutes-de-la-Rouge Camping expansion project and waiver of assistance granted under the Tourism Development Strategies Support Program</w:t>
      </w:r>
    </w:p>
    <w:p w14:paraId="2464FF4E" w14:textId="7A93F3F4" w:rsidR="00113915" w:rsidRDefault="002A60F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A60F9">
        <w:rPr>
          <w:rFonts w:cs="Arial"/>
          <w:lang w:val="en-CA"/>
        </w:rPr>
        <w:t>Authorization to pay the sum of $16,510.41 to LRL Associates Ltd, from the Surplus not allocated, for the work carried out at Camping des Chutes-de-la-Rouge</w:t>
      </w:r>
    </w:p>
    <w:p w14:paraId="1A846939" w14:textId="35F57FD1" w:rsidR="002A60F9" w:rsidRDefault="002A60F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A60F9">
        <w:rPr>
          <w:rFonts w:cs="Arial"/>
          <w:lang w:val="en-CA"/>
        </w:rPr>
        <w:t>Appointment of a representative for Hydro Québec</w:t>
      </w:r>
    </w:p>
    <w:p w14:paraId="670CFC02" w14:textId="73BDDEEC" w:rsidR="002A60F9" w:rsidRDefault="005235A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235AC">
        <w:rPr>
          <w:rFonts w:cs="Arial"/>
          <w:lang w:val="en-CA"/>
        </w:rPr>
        <w:t>Appointment of designated official for the purposes of administration and enforcement of municipal by-laws</w:t>
      </w:r>
    </w:p>
    <w:p w14:paraId="521EC427" w14:textId="65CA8D1C" w:rsidR="005235AC" w:rsidRDefault="0007456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74566">
        <w:rPr>
          <w:rFonts w:cs="Arial"/>
          <w:lang w:val="en-CA"/>
        </w:rPr>
        <w:t>Training authorization for the Director of Finance</w:t>
      </w:r>
    </w:p>
    <w:p w14:paraId="2147F457" w14:textId="371D3A98" w:rsidR="00074566" w:rsidRDefault="0007456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74566">
        <w:rPr>
          <w:rFonts w:cs="Arial"/>
          <w:lang w:val="en-CA"/>
        </w:rPr>
        <w:t>Training authorization for Finance Department staff</w:t>
      </w:r>
    </w:p>
    <w:p w14:paraId="5F85E550" w14:textId="5C7B78F0" w:rsidR="00074566" w:rsidRDefault="000C65F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C65FB">
        <w:rPr>
          <w:rFonts w:cs="Arial"/>
          <w:lang w:val="en-CA"/>
        </w:rPr>
        <w:t>Adoption of by-law number RA-189-04-2024, amending by-law number RA-189-06-2018 on the treatment of municipal elected officials</w:t>
      </w:r>
    </w:p>
    <w:p w14:paraId="0692AC24" w14:textId="0F70E6FD" w:rsidR="000C65FB" w:rsidRDefault="000C65F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C65FB">
        <w:rPr>
          <w:rFonts w:cs="Arial"/>
          <w:lang w:val="en-CA"/>
        </w:rPr>
        <w:t xml:space="preserve">Adoption of </w:t>
      </w:r>
      <w:r>
        <w:rPr>
          <w:rFonts w:cs="Arial"/>
          <w:lang w:val="en-CA"/>
        </w:rPr>
        <w:t>by-law</w:t>
      </w:r>
      <w:r w:rsidRPr="000C65FB">
        <w:rPr>
          <w:rFonts w:cs="Arial"/>
          <w:lang w:val="en-CA"/>
        </w:rPr>
        <w:t xml:space="preserve"> number 2024-401 (RA) on contract management</w:t>
      </w:r>
    </w:p>
    <w:p w14:paraId="2C117E9D" w14:textId="0F6E5B79" w:rsidR="005E2C86" w:rsidRDefault="005E2C8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2C86">
        <w:rPr>
          <w:rFonts w:cs="Arial"/>
          <w:lang w:val="en-CA"/>
        </w:rPr>
        <w:t>Adoption of by-law number 2024-207 (RA) concerning the rules for budgetary control and monitoring – Delegation to certain employees – Power to authorize expenses and award contracts in the name of the Municipality</w:t>
      </w:r>
    </w:p>
    <w:p w14:paraId="58E833F9" w14:textId="002E9B34" w:rsidR="00B7001E" w:rsidRDefault="00B7001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001E">
        <w:rPr>
          <w:rFonts w:cs="Arial"/>
          <w:lang w:val="en-CA"/>
        </w:rPr>
        <w:t xml:space="preserve">Notice of motion and </w:t>
      </w:r>
      <w:r>
        <w:rPr>
          <w:rFonts w:cs="Arial"/>
          <w:lang w:val="en-CA"/>
        </w:rPr>
        <w:t>tabling</w:t>
      </w:r>
      <w:r w:rsidRPr="00B7001E">
        <w:rPr>
          <w:rFonts w:cs="Arial"/>
          <w:lang w:val="en-CA"/>
        </w:rPr>
        <w:t xml:space="preserve"> of by-law number 2024-25 (RA) concerning the maintenance of private roads</w:t>
      </w:r>
    </w:p>
    <w:p w14:paraId="51D108A8" w14:textId="24879EF1" w:rsidR="00902DA1" w:rsidRPr="00985526" w:rsidRDefault="00902DA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02DA1">
        <w:rPr>
          <w:rFonts w:cs="Arial"/>
          <w:lang w:val="en-CA"/>
        </w:rPr>
        <w:t xml:space="preserve">Notice of motion and </w:t>
      </w:r>
      <w:r>
        <w:rPr>
          <w:rFonts w:cs="Arial"/>
          <w:lang w:val="en-CA"/>
        </w:rPr>
        <w:t>tabling</w:t>
      </w:r>
      <w:r w:rsidRPr="00902DA1">
        <w:rPr>
          <w:rFonts w:cs="Arial"/>
          <w:lang w:val="en-CA"/>
        </w:rPr>
        <w:t xml:space="preserve"> of by-law number RA-706-05-2024 EcoLoan Program</w:t>
      </w:r>
    </w:p>
    <w:p w14:paraId="6D6DFF5F" w14:textId="3A867C94" w:rsidR="0082200D" w:rsidRPr="00DF51AD" w:rsidRDefault="0082200D" w:rsidP="00DF51A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103B90AA" w14:textId="5C72477D" w:rsidR="00DF51AD" w:rsidRDefault="00DF51A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51AD">
        <w:rPr>
          <w:rFonts w:cs="Arial"/>
          <w:lang w:val="en-CA"/>
        </w:rPr>
        <w:t>End of the service agreement for the maintenance of winter roads in sector #2 of Harrington</w:t>
      </w:r>
      <w:r>
        <w:rPr>
          <w:rFonts w:cs="Arial"/>
          <w:lang w:val="en-CA"/>
        </w:rPr>
        <w:t xml:space="preserve"> </w:t>
      </w:r>
    </w:p>
    <w:p w14:paraId="49960174" w14:textId="4B36984E" w:rsidR="007C2907" w:rsidRDefault="007C2907" w:rsidP="007C29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C2907">
        <w:rPr>
          <w:rFonts w:cs="Arial"/>
          <w:lang w:val="en-CA"/>
        </w:rPr>
        <w:t>Request to postpone roadwork - Grant TJT93947</w:t>
      </w:r>
    </w:p>
    <w:p w14:paraId="5A36198A" w14:textId="4FA908BC" w:rsidR="007C2907" w:rsidRDefault="00083986" w:rsidP="007C29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83986">
        <w:rPr>
          <w:rFonts w:cs="Arial"/>
          <w:lang w:val="en-CA"/>
        </w:rPr>
        <w:t>Request to the Ministry of Transport and Sustainable Mobility of Quebec (MTQ) to accelerate the reconstruction process of the bridge linking Walker Road to La Prairie Road in Grenville-sur-la-Rouge</w:t>
      </w:r>
    </w:p>
    <w:p w14:paraId="5FA49911" w14:textId="0E311212" w:rsidR="00083986" w:rsidRDefault="00C873B3" w:rsidP="007C29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873B3">
        <w:rPr>
          <w:rFonts w:cs="Arial"/>
          <w:lang w:val="en-CA"/>
        </w:rPr>
        <w:t>Request to the Ministry of Transport and Sustainable Mobility of Quebec (MTQ) to take over the management of the GR-PC-0201 culvert located under Avoca Road</w:t>
      </w:r>
    </w:p>
    <w:p w14:paraId="03A95181" w14:textId="353408A0" w:rsidR="00C873B3" w:rsidRPr="007C2907" w:rsidRDefault="008F24D9" w:rsidP="007C29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F24D9">
        <w:rPr>
          <w:rFonts w:cs="Arial"/>
          <w:lang w:val="en-CA"/>
        </w:rPr>
        <w:t>Correction of resolution number 2023-11-454 - Repair of valve and flowmeter of drinking water tanks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6C4AB5EF" w14:textId="729DB884" w:rsidR="00F77B84" w:rsidRDefault="00F77B84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77B84">
        <w:rPr>
          <w:rFonts w:cs="Arial"/>
          <w:lang w:val="en-CA"/>
        </w:rPr>
        <w:t>Authorization to sign a contract with Fibre Argenteuil</w:t>
      </w:r>
      <w:r>
        <w:rPr>
          <w:rFonts w:cs="Arial"/>
          <w:lang w:val="en-CA"/>
        </w:rPr>
        <w:t xml:space="preserve">  </w:t>
      </w:r>
    </w:p>
    <w:p w14:paraId="08988475" w14:textId="58221B70" w:rsidR="00F77B84" w:rsidRDefault="00F77B84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77B84">
        <w:rPr>
          <w:rFonts w:cs="Arial"/>
          <w:lang w:val="en-CA"/>
        </w:rPr>
        <w:t>Tabling of the 2023 annual report (Risk cover scheme) to the Ministry of Public Safety</w:t>
      </w:r>
    </w:p>
    <w:p w14:paraId="5E98DFDF" w14:textId="70DA2BD2" w:rsidR="00AD5327" w:rsidRPr="008C3D61" w:rsidRDefault="00AD5327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D5327">
        <w:rPr>
          <w:rFonts w:cs="Arial"/>
          <w:lang w:val="en-CA"/>
        </w:rPr>
        <w:t>To repeal and replace resolution 2024-03-102 – Purchase of a bunker washer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1E50048" w14:textId="2A7AC6DE" w:rsidR="00B079D8" w:rsidRDefault="00B64EE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64EE6">
        <w:rPr>
          <w:rFonts w:cs="Arial"/>
          <w:lang w:val="en-CA"/>
        </w:rPr>
        <w:t xml:space="preserve">To appoint Ms. Diana Ion as member of the Urban Planning Consultative Committee </w:t>
      </w:r>
    </w:p>
    <w:p w14:paraId="7BB7EBE9" w14:textId="141B6927" w:rsidR="007B0309" w:rsidRDefault="007B03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0309">
        <w:rPr>
          <w:rFonts w:cs="Arial"/>
          <w:lang w:val="en-CA"/>
        </w:rPr>
        <w:t>Designation of lot number 6 606 369 as Chemin du Cap-Vert</w:t>
      </w:r>
    </w:p>
    <w:p w14:paraId="2E43A4B8" w14:textId="77777777" w:rsidR="00380CA9" w:rsidRDefault="007B0309" w:rsidP="00380CA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0309">
        <w:rPr>
          <w:rFonts w:cs="Arial"/>
          <w:lang w:val="en-CA"/>
        </w:rPr>
        <w:t>Grant of a mandate to obtain the demolition of buildings constructed without a permit on Scotch and Panorama roads</w:t>
      </w:r>
    </w:p>
    <w:p w14:paraId="5D54178E" w14:textId="31D16151" w:rsidR="00380CA9" w:rsidRPr="000E205D" w:rsidRDefault="00380CA9" w:rsidP="00380CA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E205D">
        <w:rPr>
          <w:rFonts w:cs="Arial"/>
          <w:lang w:val="en-CA"/>
        </w:rPr>
        <w:t>SPAIP application</w:t>
      </w:r>
      <w:r w:rsidRPr="000E205D">
        <w:rPr>
          <w:rFonts w:cs="Arial"/>
          <w:lang w:val="en-CA"/>
        </w:rPr>
        <w:t xml:space="preserve"> - 39, Ménard</w:t>
      </w:r>
      <w:r w:rsidR="000E205D" w:rsidRPr="000E205D">
        <w:rPr>
          <w:rFonts w:cs="Arial"/>
          <w:lang w:val="en-CA"/>
        </w:rPr>
        <w:t xml:space="preserve"> street</w:t>
      </w:r>
      <w:r w:rsidRPr="000E205D">
        <w:rPr>
          <w:rFonts w:cs="Arial"/>
          <w:lang w:val="en-CA"/>
        </w:rPr>
        <w:t xml:space="preserve"> - Lot 5 924</w:t>
      </w:r>
      <w:r w:rsidR="000E205D" w:rsidRPr="000E205D">
        <w:rPr>
          <w:rFonts w:cs="Arial"/>
          <w:lang w:val="en-CA"/>
        </w:rPr>
        <w:t> </w:t>
      </w:r>
      <w:r w:rsidRPr="000E205D">
        <w:rPr>
          <w:rFonts w:cs="Arial"/>
          <w:lang w:val="en-CA"/>
        </w:rPr>
        <w:t>553</w:t>
      </w:r>
    </w:p>
    <w:p w14:paraId="2497A175" w14:textId="3EC03C82" w:rsidR="00F84D27" w:rsidRDefault="000E205D" w:rsidP="00F84D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E205D">
        <w:rPr>
          <w:rFonts w:cs="Arial"/>
        </w:rPr>
        <w:t xml:space="preserve">SPAIP application </w:t>
      </w:r>
      <w:r w:rsidRPr="000E205D">
        <w:rPr>
          <w:rFonts w:cs="Arial"/>
        </w:rPr>
        <w:t xml:space="preserve">- </w:t>
      </w:r>
      <w:r w:rsidRPr="000E205D">
        <w:rPr>
          <w:rFonts w:cs="Arial"/>
        </w:rPr>
        <w:t>21, Carrière</w:t>
      </w:r>
      <w:r>
        <w:rPr>
          <w:rFonts w:cs="Arial"/>
        </w:rPr>
        <w:t xml:space="preserve"> street</w:t>
      </w:r>
      <w:r w:rsidRPr="000E205D">
        <w:rPr>
          <w:rFonts w:cs="Arial"/>
        </w:rPr>
        <w:t xml:space="preserve"> - Lot 5 924</w:t>
      </w:r>
      <w:r w:rsidR="00F84D27">
        <w:rPr>
          <w:rFonts w:cs="Arial"/>
        </w:rPr>
        <w:t> </w:t>
      </w:r>
      <w:r w:rsidRPr="000E205D">
        <w:rPr>
          <w:rFonts w:cs="Arial"/>
        </w:rPr>
        <w:t>431</w:t>
      </w:r>
    </w:p>
    <w:p w14:paraId="518E3C9B" w14:textId="6B96B21B" w:rsidR="00F84D27" w:rsidRPr="000D64FC" w:rsidRDefault="00F84D27" w:rsidP="00F84D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84D27">
        <w:rPr>
          <w:rFonts w:cs="Arial"/>
          <w:lang w:val="en-CA"/>
        </w:rPr>
        <w:t>SPAIP application</w:t>
      </w:r>
      <w:r w:rsidRPr="00F84D27">
        <w:rPr>
          <w:rFonts w:cs="Arial"/>
          <w:lang w:val="en-CA"/>
        </w:rPr>
        <w:t xml:space="preserve"> - </w:t>
      </w:r>
      <w:r w:rsidRPr="00F84D27">
        <w:rPr>
          <w:rFonts w:cs="Arial"/>
          <w:lang w:val="en-CA"/>
        </w:rPr>
        <w:t>125, Tervette</w:t>
      </w:r>
      <w:r>
        <w:rPr>
          <w:rFonts w:cs="Arial"/>
          <w:lang w:val="en-CA"/>
        </w:rPr>
        <w:t xml:space="preserve"> Road</w:t>
      </w:r>
      <w:r w:rsidRPr="00F84D27">
        <w:rPr>
          <w:rFonts w:cs="Arial"/>
          <w:lang w:val="en-CA"/>
        </w:rPr>
        <w:t xml:space="preserve"> - Lot 6 209 538</w:t>
      </w:r>
    </w:p>
    <w:p w14:paraId="25FACEE4" w14:textId="77777777" w:rsidR="00380CA9" w:rsidRPr="000D64FC" w:rsidRDefault="00380CA9" w:rsidP="00380CA9">
      <w:pPr>
        <w:pStyle w:val="Sansinterligne"/>
        <w:spacing w:after="180"/>
        <w:ind w:left="1134"/>
        <w:rPr>
          <w:rFonts w:cs="Arial"/>
          <w:lang w:val="en-CA"/>
        </w:rPr>
      </w:pPr>
    </w:p>
    <w:p w14:paraId="0E3CF656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5FE264D9" w14:textId="0523CC3D" w:rsidR="00D22B64" w:rsidRDefault="00D22B6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22B64">
        <w:rPr>
          <w:rFonts w:cs="Arial"/>
          <w:lang w:val="en-CA"/>
        </w:rPr>
        <w:t>To reject bids – To reject bids – Emptying, transporting and recovery of septic tank sludge from residential buildings</w:t>
      </w:r>
      <w:r>
        <w:rPr>
          <w:rFonts w:cs="Arial"/>
          <w:lang w:val="en-CA"/>
        </w:rPr>
        <w:t xml:space="preserve">  </w:t>
      </w:r>
    </w:p>
    <w:p w14:paraId="2CA13EE6" w14:textId="16DB0E2B" w:rsidR="00800DD5" w:rsidRDefault="00800DD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0DD5">
        <w:rPr>
          <w:rFonts w:cs="Arial"/>
          <w:lang w:val="en-CA"/>
        </w:rPr>
        <w:t>Contract renewal with the Ecocentre for 2024</w:t>
      </w:r>
    </w:p>
    <w:p w14:paraId="6735AFF9" w14:textId="3734E9BF" w:rsidR="00800DD5" w:rsidRDefault="00800DD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0DD5">
        <w:rPr>
          <w:rFonts w:cs="Arial"/>
          <w:lang w:val="en-CA"/>
        </w:rPr>
        <w:t>Contract awarded to Geostar Inc. – Water Analysis</w:t>
      </w:r>
    </w:p>
    <w:p w14:paraId="5FFD10A1" w14:textId="1B1CAFBB" w:rsidR="00800DD5" w:rsidRPr="0082200D" w:rsidRDefault="00800DD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0DD5">
        <w:rPr>
          <w:rFonts w:cs="Arial"/>
          <w:lang w:val="en-CA"/>
        </w:rPr>
        <w:t>Recognition of the contribution of disabled people as part of Quebec Disability Week</w:t>
      </w:r>
    </w:p>
    <w:p w14:paraId="087F28A7" w14:textId="020824BE" w:rsidR="0082200D" w:rsidRPr="00800DD5" w:rsidRDefault="0082200D" w:rsidP="00800DD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4C464EE9" w14:textId="71ECEC7D" w:rsidR="00800DD5" w:rsidRPr="0082200D" w:rsidRDefault="00800DD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0DD5">
        <w:rPr>
          <w:rFonts w:cs="Arial"/>
          <w:lang w:val="en-CA"/>
        </w:rPr>
        <w:t>Granting of Financial Assistance to the McGillivray Lake Community Association</w:t>
      </w:r>
      <w:r>
        <w:rPr>
          <w:rFonts w:cs="Arial"/>
          <w:lang w:val="en-CA"/>
        </w:rPr>
        <w:t xml:space="preserve"> 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075AD"/>
    <w:rsid w:val="00012BA1"/>
    <w:rsid w:val="00074566"/>
    <w:rsid w:val="00083986"/>
    <w:rsid w:val="000C65FB"/>
    <w:rsid w:val="000D64FC"/>
    <w:rsid w:val="000E205D"/>
    <w:rsid w:val="00100AEA"/>
    <w:rsid w:val="00113915"/>
    <w:rsid w:val="00120E00"/>
    <w:rsid w:val="001436A1"/>
    <w:rsid w:val="00145F3D"/>
    <w:rsid w:val="001D3019"/>
    <w:rsid w:val="0022759B"/>
    <w:rsid w:val="002922D1"/>
    <w:rsid w:val="002A60F9"/>
    <w:rsid w:val="002B3655"/>
    <w:rsid w:val="002C1772"/>
    <w:rsid w:val="00344795"/>
    <w:rsid w:val="00380CA9"/>
    <w:rsid w:val="003E41C8"/>
    <w:rsid w:val="0040012F"/>
    <w:rsid w:val="00427C12"/>
    <w:rsid w:val="004372ED"/>
    <w:rsid w:val="00492F84"/>
    <w:rsid w:val="004C7F13"/>
    <w:rsid w:val="004E6DAA"/>
    <w:rsid w:val="004F497C"/>
    <w:rsid w:val="00505991"/>
    <w:rsid w:val="005235AC"/>
    <w:rsid w:val="00534564"/>
    <w:rsid w:val="00577AA4"/>
    <w:rsid w:val="0058657D"/>
    <w:rsid w:val="005B6042"/>
    <w:rsid w:val="005C762B"/>
    <w:rsid w:val="005E2C86"/>
    <w:rsid w:val="0062416C"/>
    <w:rsid w:val="00635352"/>
    <w:rsid w:val="006D1F5D"/>
    <w:rsid w:val="007B0309"/>
    <w:rsid w:val="007C2907"/>
    <w:rsid w:val="00800DD5"/>
    <w:rsid w:val="0082200D"/>
    <w:rsid w:val="008C3D61"/>
    <w:rsid w:val="008E212A"/>
    <w:rsid w:val="008E5E5C"/>
    <w:rsid w:val="008F1060"/>
    <w:rsid w:val="008F24D9"/>
    <w:rsid w:val="00902DA1"/>
    <w:rsid w:val="00903124"/>
    <w:rsid w:val="00953B54"/>
    <w:rsid w:val="00985526"/>
    <w:rsid w:val="009D4D4B"/>
    <w:rsid w:val="009D7E38"/>
    <w:rsid w:val="00A10A13"/>
    <w:rsid w:val="00AD5327"/>
    <w:rsid w:val="00AF7A89"/>
    <w:rsid w:val="00B072D9"/>
    <w:rsid w:val="00B079D8"/>
    <w:rsid w:val="00B64EE6"/>
    <w:rsid w:val="00B7001E"/>
    <w:rsid w:val="00BA261C"/>
    <w:rsid w:val="00BC137D"/>
    <w:rsid w:val="00BF2760"/>
    <w:rsid w:val="00C162AE"/>
    <w:rsid w:val="00C26F95"/>
    <w:rsid w:val="00C441EE"/>
    <w:rsid w:val="00C514AE"/>
    <w:rsid w:val="00C873B3"/>
    <w:rsid w:val="00C90CED"/>
    <w:rsid w:val="00CE4D69"/>
    <w:rsid w:val="00D2038A"/>
    <w:rsid w:val="00D22B64"/>
    <w:rsid w:val="00D363EB"/>
    <w:rsid w:val="00D770D1"/>
    <w:rsid w:val="00D943A3"/>
    <w:rsid w:val="00DF51AD"/>
    <w:rsid w:val="00DF77CD"/>
    <w:rsid w:val="00E241FC"/>
    <w:rsid w:val="00E96522"/>
    <w:rsid w:val="00E97316"/>
    <w:rsid w:val="00F312C8"/>
    <w:rsid w:val="00F77B84"/>
    <w:rsid w:val="00F84D2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48</cp:revision>
  <cp:lastPrinted>2019-04-09T17:12:00Z</cp:lastPrinted>
  <dcterms:created xsi:type="dcterms:W3CDTF">2019-07-11T19:06:00Z</dcterms:created>
  <dcterms:modified xsi:type="dcterms:W3CDTF">2024-05-08T18:30:00Z</dcterms:modified>
</cp:coreProperties>
</file>