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7779F4A2" w:rsidR="007348D6" w:rsidRPr="00477AC9" w:rsidRDefault="00FE41F3" w:rsidP="007348D6">
      <w:pPr>
        <w:jc w:val="center"/>
        <w:rPr>
          <w:rFonts w:ascii="Calibri" w:hAnsi="Calibri" w:cs="Arial"/>
          <w:b/>
          <w:i/>
          <w:sz w:val="32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3807D11" wp14:editId="0A0DC17E">
            <wp:simplePos x="0" y="0"/>
            <wp:positionH relativeFrom="column">
              <wp:posOffset>-317500</wp:posOffset>
            </wp:positionH>
            <wp:positionV relativeFrom="paragraph">
              <wp:posOffset>-488315</wp:posOffset>
            </wp:positionV>
            <wp:extent cx="1060450" cy="915224"/>
            <wp:effectExtent l="0" t="0" r="6350" b="0"/>
            <wp:wrapNone/>
            <wp:docPr id="1678430373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430373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1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D6"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531D237B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9A64CC">
        <w:rPr>
          <w:rFonts w:ascii="Calibri" w:hAnsi="Calibri" w:cs="Arial"/>
          <w:i/>
        </w:rPr>
        <w:t>12 SEPTEMBRE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39F9E9BA" w14:textId="77777777" w:rsidR="00CB3372" w:rsidRDefault="00CB3372" w:rsidP="007348D6">
      <w:pPr>
        <w:jc w:val="center"/>
        <w:rPr>
          <w:rFonts w:ascii="Calibri" w:hAnsi="Calibri" w:cs="Arial"/>
          <w:b/>
          <w:color w:val="C00000"/>
        </w:rPr>
      </w:pPr>
    </w:p>
    <w:p w14:paraId="49DD1F9B" w14:textId="6B0856E1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386359DC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1DDB1981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1AFC7F5B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4AC3F4DF" w:rsidR="002B3655" w:rsidRPr="00986CA4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D266C9">
        <w:rPr>
          <w:rFonts w:cstheme="minorHAnsi"/>
          <w:color w:val="212121"/>
          <w:shd w:val="clear" w:color="auto" w:fill="FFFFFF"/>
        </w:rPr>
        <w:t>8</w:t>
      </w:r>
      <w:r w:rsidR="00573B89">
        <w:rPr>
          <w:rFonts w:cstheme="minorHAnsi"/>
          <w:color w:val="212121"/>
          <w:shd w:val="clear" w:color="auto" w:fill="FFFFFF"/>
        </w:rPr>
        <w:t> </w:t>
      </w:r>
      <w:r w:rsidR="00D266C9">
        <w:rPr>
          <w:rFonts w:cstheme="minorHAnsi"/>
          <w:color w:val="212121"/>
          <w:shd w:val="clear" w:color="auto" w:fill="FFFFFF"/>
        </w:rPr>
        <w:t>août 2023</w:t>
      </w:r>
    </w:p>
    <w:p w14:paraId="127755AE" w14:textId="77777777" w:rsidR="00B55E33" w:rsidRDefault="00986CA4" w:rsidP="00B55E33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986CA4">
        <w:rPr>
          <w:rFonts w:asciiTheme="minorHAnsi" w:eastAsia="SimSun" w:hAnsiTheme="minorHAnsi" w:cs="Arial"/>
          <w:sz w:val="22"/>
          <w:szCs w:val="22"/>
          <w:lang w:eastAsia="en-US"/>
        </w:rPr>
        <w:t xml:space="preserve">Adoption du procès-verbal de la séance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extra</w:t>
      </w:r>
      <w:r w:rsidRPr="00986CA4">
        <w:rPr>
          <w:rFonts w:asciiTheme="minorHAnsi" w:eastAsia="SimSun" w:hAnsiTheme="minorHAnsi" w:cs="Arial"/>
          <w:sz w:val="22"/>
          <w:szCs w:val="22"/>
          <w:lang w:eastAsia="en-US"/>
        </w:rPr>
        <w:t xml:space="preserve">ordinaire du conseil municipal tenue le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2</w:t>
      </w:r>
      <w:r w:rsidR="00AC0E83">
        <w:rPr>
          <w:rFonts w:asciiTheme="minorHAnsi" w:eastAsia="SimSun" w:hAnsiTheme="minorHAnsi" w:cs="Arial"/>
          <w:sz w:val="22"/>
          <w:szCs w:val="22"/>
          <w:lang w:eastAsia="en-US"/>
        </w:rPr>
        <w:t>4</w:t>
      </w:r>
      <w:r w:rsidRPr="00986CA4">
        <w:rPr>
          <w:rFonts w:asciiTheme="minorHAnsi" w:eastAsia="SimSun" w:hAnsiTheme="minorHAnsi" w:cs="Arial"/>
          <w:sz w:val="22"/>
          <w:szCs w:val="22"/>
          <w:lang w:eastAsia="en-US"/>
        </w:rPr>
        <w:t xml:space="preserve"> août 2023</w:t>
      </w:r>
    </w:p>
    <w:p w14:paraId="3FE587A9" w14:textId="77777777" w:rsidR="00B55E33" w:rsidRDefault="00B55E33" w:rsidP="00B55E33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4B9DB845" w14:textId="7922C2E2" w:rsidR="00B55E33" w:rsidRPr="00B55E33" w:rsidRDefault="00B55E33" w:rsidP="00B55E33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B55E33">
        <w:rPr>
          <w:rFonts w:asciiTheme="minorHAnsi" w:eastAsia="SimSun" w:hAnsiTheme="minorHAnsi" w:cs="Arial"/>
          <w:sz w:val="22"/>
          <w:szCs w:val="22"/>
          <w:lang w:eastAsia="en-US"/>
        </w:rPr>
        <w:t>Adoption du procès-verbal de la séance extraordinaire du conseil municipal tenue le 2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9</w:t>
      </w:r>
      <w:r w:rsidRPr="00B55E33">
        <w:rPr>
          <w:rFonts w:asciiTheme="minorHAnsi" w:eastAsia="SimSun" w:hAnsiTheme="minorHAnsi" w:cs="Arial"/>
          <w:sz w:val="22"/>
          <w:szCs w:val="22"/>
          <w:lang w:eastAsia="en-US"/>
        </w:rPr>
        <w:t xml:space="preserve"> août 2023</w:t>
      </w:r>
    </w:p>
    <w:p w14:paraId="12B5C249" w14:textId="77777777" w:rsidR="00986CA4" w:rsidRPr="00986CA4" w:rsidRDefault="00986CA4" w:rsidP="00986CA4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4C530220" w14:textId="77777777" w:rsidR="003D3157" w:rsidRPr="00C225AC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1121D167" w14:textId="77777777" w:rsidR="00C225AC" w:rsidRPr="00C225AC" w:rsidRDefault="00C225AC" w:rsidP="00C225AC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43D8E9" w14:textId="2B9C9AE2" w:rsidR="00C225AC" w:rsidRPr="00912E99" w:rsidRDefault="00C225AC" w:rsidP="00C225AC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Rapport du Maire sur les faits saillants</w:t>
      </w:r>
      <w:r w:rsidR="00231806">
        <w:rPr>
          <w:rFonts w:asciiTheme="minorHAnsi" w:hAnsiTheme="minorHAnsi" w:cs="Arial"/>
          <w:sz w:val="22"/>
          <w:szCs w:val="22"/>
        </w:rPr>
        <w:t xml:space="preserve"> (rapport financier 2022)</w:t>
      </w:r>
    </w:p>
    <w:p w14:paraId="27855FFE" w14:textId="235B64E8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36EE853B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CE4E99">
        <w:rPr>
          <w:rFonts w:cstheme="minorHAnsi"/>
        </w:rPr>
        <w:t>12 septembre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229E70CA" w14:textId="48C4CEDF" w:rsidR="00476376" w:rsidRPr="00476376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65BD418A" w14:textId="6A4D9076" w:rsidR="004C7F13" w:rsidRDefault="004C7F13" w:rsidP="00476376">
      <w:pPr>
        <w:pStyle w:val="Sansinterligne"/>
        <w:spacing w:after="180"/>
        <w:ind w:left="1134"/>
        <w:rPr>
          <w:rFonts w:cs="Arial"/>
        </w:rPr>
      </w:pPr>
    </w:p>
    <w:p w14:paraId="0E660370" w14:textId="656C8172" w:rsidR="00514656" w:rsidRDefault="00514656" w:rsidP="00E532E0">
      <w:pPr>
        <w:pStyle w:val="Sansinterligne"/>
        <w:spacing w:after="180"/>
        <w:rPr>
          <w:rFonts w:cs="Arial"/>
        </w:rPr>
      </w:pPr>
    </w:p>
    <w:p w14:paraId="6E6154BE" w14:textId="49DF5BDD" w:rsidR="009E2C9C" w:rsidRDefault="009E2C9C" w:rsidP="003254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Transferts budgétaires</w:t>
      </w:r>
    </w:p>
    <w:p w14:paraId="5FA19935" w14:textId="77777777" w:rsidR="00485556" w:rsidRDefault="00485556" w:rsidP="008A40B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85556">
        <w:rPr>
          <w:rFonts w:cs="Arial"/>
        </w:rPr>
        <w:t>Renouvellement du programme de la taxe sur l’essence et la contribution du Québec (2024 à 2028) – négociations entre les gouvernements du Québec et du Canada</w:t>
      </w:r>
    </w:p>
    <w:p w14:paraId="11F1AFCE" w14:textId="721147B0" w:rsidR="0059475D" w:rsidRDefault="0059475D" w:rsidP="008A40B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</w:t>
      </w:r>
      <w:r w:rsidR="00B11F85" w:rsidRPr="00B11F85">
        <w:rPr>
          <w:rFonts w:cs="Arial"/>
        </w:rPr>
        <w:t>de participation à des formations</w:t>
      </w:r>
    </w:p>
    <w:p w14:paraId="39441067" w14:textId="6FB770E1" w:rsidR="001C138B" w:rsidRDefault="001C138B" w:rsidP="008A40B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formation pour les membres du Comité </w:t>
      </w:r>
      <w:r w:rsidR="00C42C74">
        <w:rPr>
          <w:rFonts w:cs="Arial"/>
        </w:rPr>
        <w:t>C</w:t>
      </w:r>
      <w:r>
        <w:rPr>
          <w:rFonts w:cs="Arial"/>
        </w:rPr>
        <w:t>onsultatif d’Urbanisme</w:t>
      </w:r>
    </w:p>
    <w:p w14:paraId="3E3652C9" w14:textId="04376AF3" w:rsidR="00B63B4D" w:rsidRDefault="00B63B4D" w:rsidP="003254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d’une bibliothécaire</w:t>
      </w:r>
    </w:p>
    <w:p w14:paraId="46081962" w14:textId="1B4C398C" w:rsidR="00134FAA" w:rsidRDefault="00915664" w:rsidP="0086271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577C1">
        <w:rPr>
          <w:rFonts w:cs="Arial"/>
        </w:rPr>
        <w:t>Octroi</w:t>
      </w:r>
      <w:r w:rsidRPr="00CE7EEE">
        <w:rPr>
          <w:rFonts w:cs="Arial"/>
        </w:rPr>
        <w:t xml:space="preserve"> d’un contrat p</w:t>
      </w:r>
      <w:r w:rsidR="00134FAA" w:rsidRPr="00CE7EEE">
        <w:rPr>
          <w:rFonts w:cs="Arial"/>
        </w:rPr>
        <w:t xml:space="preserve">our retenir les services de madame Patricia </w:t>
      </w:r>
      <w:proofErr w:type="spellStart"/>
      <w:r w:rsidR="00134FAA" w:rsidRPr="00CE7EEE">
        <w:rPr>
          <w:rFonts w:cs="Arial"/>
        </w:rPr>
        <w:t>Fillet</w:t>
      </w:r>
      <w:proofErr w:type="spellEnd"/>
      <w:r w:rsidR="00C577C1">
        <w:rPr>
          <w:rFonts w:cs="Arial"/>
        </w:rPr>
        <w:t xml:space="preserve"> - </w:t>
      </w:r>
      <w:r w:rsidR="00C577C1" w:rsidRPr="00CE7EEE">
        <w:rPr>
          <w:rFonts w:cs="Arial"/>
        </w:rPr>
        <w:t>Soutien administratif</w:t>
      </w:r>
      <w:r w:rsidR="00C577C1">
        <w:rPr>
          <w:rFonts w:cs="Arial"/>
        </w:rPr>
        <w:t xml:space="preserve"> – Mise à jour du</w:t>
      </w:r>
      <w:r w:rsidR="00C577C1" w:rsidRPr="00CE7EEE">
        <w:rPr>
          <w:rFonts w:cs="Arial"/>
        </w:rPr>
        <w:t xml:space="preserve"> </w:t>
      </w:r>
      <w:r w:rsidR="00134FAA" w:rsidRPr="00CE7EEE">
        <w:rPr>
          <w:rFonts w:cs="Arial"/>
        </w:rPr>
        <w:t xml:space="preserve">Registre des règlements </w:t>
      </w:r>
    </w:p>
    <w:p w14:paraId="68952B43" w14:textId="342B61AD" w:rsidR="007227D3" w:rsidRPr="007227D3" w:rsidRDefault="007227D3" w:rsidP="007227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577C1">
        <w:rPr>
          <w:rFonts w:cs="Arial"/>
        </w:rPr>
        <w:t>Octroi</w:t>
      </w:r>
      <w:r w:rsidRPr="00CE7EEE">
        <w:rPr>
          <w:rFonts w:cs="Arial"/>
        </w:rPr>
        <w:t xml:space="preserve"> d’un contrat pour retenir les services de </w:t>
      </w:r>
      <w:r>
        <w:rPr>
          <w:rFonts w:cs="Arial"/>
        </w:rPr>
        <w:t xml:space="preserve">monsieur Serge Raymond </w:t>
      </w:r>
      <w:r>
        <w:rPr>
          <w:rFonts w:cs="Arial"/>
        </w:rPr>
        <w:t xml:space="preserve">- </w:t>
      </w:r>
      <w:r w:rsidRPr="00CE7EEE">
        <w:rPr>
          <w:rFonts w:cs="Arial"/>
        </w:rPr>
        <w:t>Soutien a</w:t>
      </w:r>
      <w:r w:rsidR="00E532E0">
        <w:rPr>
          <w:rFonts w:cs="Arial"/>
        </w:rPr>
        <w:t>u service des Finances</w:t>
      </w:r>
      <w:r>
        <w:rPr>
          <w:rFonts w:cs="Arial"/>
        </w:rPr>
        <w:t xml:space="preserve"> – </w:t>
      </w:r>
      <w:r w:rsidR="00B62E60">
        <w:rPr>
          <w:rFonts w:cs="Arial"/>
        </w:rPr>
        <w:t xml:space="preserve">Planification budgétaire et redditions de comptes </w:t>
      </w:r>
      <w:r w:rsidRPr="00CE7EEE">
        <w:rPr>
          <w:rFonts w:cs="Arial"/>
        </w:rPr>
        <w:t xml:space="preserve"> </w:t>
      </w:r>
    </w:p>
    <w:p w14:paraId="43DB12C1" w14:textId="4664D3A3" w:rsidR="00314F0E" w:rsidRDefault="00314F0E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Correction de la résolution 2023-07-29</w:t>
      </w:r>
      <w:r w:rsidR="00E7368E">
        <w:rPr>
          <w:rFonts w:cs="Arial"/>
        </w:rPr>
        <w:t>5</w:t>
      </w:r>
      <w:r>
        <w:rPr>
          <w:rFonts w:cs="Arial"/>
        </w:rPr>
        <w:t xml:space="preserve"> concernant le</w:t>
      </w:r>
      <w:r w:rsidRPr="00314F0E">
        <w:rPr>
          <w:rFonts w:cs="Arial"/>
        </w:rPr>
        <w:t xml:space="preserve"> transf</w:t>
      </w:r>
      <w:r>
        <w:rPr>
          <w:rFonts w:cs="Arial"/>
        </w:rPr>
        <w:t>ert</w:t>
      </w:r>
      <w:r w:rsidRPr="00314F0E">
        <w:rPr>
          <w:rFonts w:cs="Arial"/>
        </w:rPr>
        <w:t xml:space="preserve"> de sommes provenant des postes budgétaires excédentaires vers les postes budgétaires déficitaires</w:t>
      </w:r>
    </w:p>
    <w:p w14:paraId="112075C1" w14:textId="1636367A" w:rsidR="00003C42" w:rsidRPr="004F71A2" w:rsidRDefault="00003C42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03C42">
        <w:rPr>
          <w:rFonts w:cs="Arial"/>
        </w:rPr>
        <w:t>Correction de la résoluti</w:t>
      </w:r>
      <w:r>
        <w:rPr>
          <w:rFonts w:cs="Arial"/>
        </w:rPr>
        <w:t xml:space="preserve">on </w:t>
      </w:r>
      <w:r w:rsidRPr="00003C42">
        <w:rPr>
          <w:rFonts w:cs="Arial"/>
        </w:rPr>
        <w:t>2022-08-221</w:t>
      </w:r>
      <w:r>
        <w:rPr>
          <w:rFonts w:cs="Arial"/>
        </w:rPr>
        <w:t xml:space="preserve"> concernant les m</w:t>
      </w:r>
      <w:r w:rsidRPr="00003C42">
        <w:rPr>
          <w:rFonts w:cs="Arial"/>
        </w:rPr>
        <w:t>odifications du règlement d’emprunt numéro RE-623-03-2022</w:t>
      </w:r>
    </w:p>
    <w:p w14:paraId="584C311C" w14:textId="375A6E1F" w:rsidR="0082200D" w:rsidRDefault="0090330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dépôt du projet de règlement numéro RE-623-09-2023 amendant le règlement numéro </w:t>
      </w:r>
      <w:r w:rsidR="00BF4B48">
        <w:rPr>
          <w:rFonts w:cs="Arial"/>
        </w:rPr>
        <w:t xml:space="preserve">RE-623-03-2022 </w:t>
      </w:r>
      <w:r w:rsidR="005F3208" w:rsidRPr="005F3208">
        <w:rPr>
          <w:rFonts w:cs="Arial"/>
        </w:rPr>
        <w:t xml:space="preserve">décrétant une dépense de 1 922 503$ et un emprunt de 1 922 503$ pour des travaux de réfection des chemins </w:t>
      </w:r>
      <w:proofErr w:type="spellStart"/>
      <w:r w:rsidR="005F3208" w:rsidRPr="005F3208">
        <w:rPr>
          <w:rFonts w:cs="Arial"/>
        </w:rPr>
        <w:t>Kilmar</w:t>
      </w:r>
      <w:proofErr w:type="spellEnd"/>
      <w:r w:rsidR="005F3208" w:rsidRPr="005F3208">
        <w:rPr>
          <w:rFonts w:cs="Arial"/>
        </w:rPr>
        <w:t xml:space="preserve"> et Harrington, ainsi qu’un ponceau sur le chemin de la Rivière Rouge</w:t>
      </w:r>
    </w:p>
    <w:p w14:paraId="7E04D6AF" w14:textId="77777777" w:rsidR="0082200D" w:rsidRPr="002F3312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lastRenderedPageBreak/>
        <w:t xml:space="preserve">Travaux publics </w:t>
      </w:r>
    </w:p>
    <w:p w14:paraId="75FDF09F" w14:textId="29D36389" w:rsidR="002F3312" w:rsidRPr="002F3312" w:rsidRDefault="004B6AF8" w:rsidP="002F331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accepter un soumissionnaire - Achat d’équipements d’hiver pour le camion F550 (# 36)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2702661F" w14:textId="3B6E7A55" w:rsidR="00A226F9" w:rsidRDefault="00A226F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dérogation mineure – lot 5 925 711 du cadastre du Québec</w:t>
      </w:r>
    </w:p>
    <w:p w14:paraId="15FF1F79" w14:textId="65719E09" w:rsidR="005A5EB4" w:rsidRDefault="005A5EB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A5EB4">
        <w:rPr>
          <w:rFonts w:cs="Arial"/>
        </w:rPr>
        <w:t>Demande de PIIA no 2023-000238 – 143, rue de la Berge</w:t>
      </w:r>
    </w:p>
    <w:p w14:paraId="304E92D3" w14:textId="03106AD1" w:rsidR="00AC7C3F" w:rsidRDefault="00AC7C3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C7C3F">
        <w:rPr>
          <w:rFonts w:cs="Arial"/>
        </w:rPr>
        <w:t>Demande de PIIA no 2023-000230 – 110, chemin Constantineau</w:t>
      </w:r>
    </w:p>
    <w:p w14:paraId="2C7A91AD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3198F8E2" w14:textId="77777777" w:rsidR="00314F0E" w:rsidRDefault="001C7C8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C7C81">
        <w:rPr>
          <w:rFonts w:cs="Arial"/>
        </w:rPr>
        <w:t xml:space="preserve">Demande d’aide financière auprès de RECYC-QUÉBEC dans le cadre du Programme d’aide au compostage domestique et communautaire (ACDC) et engagement à en respecter les exigences </w:t>
      </w:r>
    </w:p>
    <w:p w14:paraId="13BDB799" w14:textId="5B940781" w:rsidR="00E8695D" w:rsidRDefault="00E8695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8695D">
        <w:rPr>
          <w:rFonts w:cs="Arial"/>
        </w:rPr>
        <w:t>Demande d’aide financière auprès du Ministère de l’environnement</w:t>
      </w:r>
      <w:r w:rsidR="00B62E60">
        <w:rPr>
          <w:rFonts w:cs="Arial"/>
        </w:rPr>
        <w:t xml:space="preserve">, </w:t>
      </w:r>
      <w:r w:rsidRPr="00E8695D">
        <w:rPr>
          <w:rFonts w:cs="Arial"/>
        </w:rPr>
        <w:t>de la lutte contre les changements climatiques, de la faune et des parcs dans le cadre du Programme de traitement des matières organiques par biométhanisation et compostage (phase IV)</w:t>
      </w:r>
    </w:p>
    <w:p w14:paraId="6C591753" w14:textId="77777777" w:rsidR="0082200D" w:rsidRPr="00B62E60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5C1ED68A" w14:textId="032A5F08" w:rsidR="00B62E60" w:rsidRPr="00B62E60" w:rsidRDefault="00504588" w:rsidP="00B62E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</w:t>
      </w:r>
      <w:r w:rsidR="00B62E60">
        <w:rPr>
          <w:rFonts w:cs="Arial"/>
        </w:rPr>
        <w:t xml:space="preserve">utoriser la signature du contrat de location – Séminaire Sacré-Cœur – </w:t>
      </w:r>
      <w:proofErr w:type="spellStart"/>
      <w:r w:rsidR="00B62E60">
        <w:rPr>
          <w:rFonts w:cs="Arial"/>
        </w:rPr>
        <w:t>Pickleball</w:t>
      </w:r>
      <w:proofErr w:type="spellEnd"/>
      <w:r w:rsidR="00B62E60">
        <w:rPr>
          <w:rFonts w:cs="Arial"/>
        </w:rPr>
        <w:t xml:space="preserve"> 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25600DBF" w:rsidR="0082200D" w:rsidRPr="0088562D" w:rsidRDefault="00B62E6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</w:t>
      </w:r>
      <w:r w:rsidR="00F17860">
        <w:rPr>
          <w:rFonts w:cs="Arial"/>
        </w:rPr>
        <w:t>ppui</w:t>
      </w:r>
      <w:r w:rsidR="0088562D" w:rsidRPr="0088562D">
        <w:rPr>
          <w:rFonts w:cs="Arial"/>
        </w:rPr>
        <w:t xml:space="preserve"> </w:t>
      </w:r>
      <w:r>
        <w:rPr>
          <w:rFonts w:cs="Arial"/>
        </w:rPr>
        <w:t>a</w:t>
      </w:r>
      <w:r w:rsidR="0088562D" w:rsidRPr="0088562D">
        <w:rPr>
          <w:rFonts w:cs="Arial"/>
        </w:rPr>
        <w:t>u C</w:t>
      </w:r>
      <w:r w:rsidR="0088562D">
        <w:rPr>
          <w:rFonts w:cs="Arial"/>
        </w:rPr>
        <w:t>entre communautaire de la Vallée d’Harrington</w:t>
      </w:r>
      <w:r>
        <w:rPr>
          <w:rFonts w:cs="Arial"/>
        </w:rPr>
        <w:t xml:space="preserve"> </w:t>
      </w:r>
      <w:r w:rsidR="00504588">
        <w:rPr>
          <w:rFonts w:cs="Arial"/>
        </w:rPr>
        <w:t>–</w:t>
      </w:r>
      <w:r>
        <w:rPr>
          <w:rFonts w:cs="Arial"/>
        </w:rPr>
        <w:t xml:space="preserve"> </w:t>
      </w:r>
      <w:r w:rsidR="00504588">
        <w:rPr>
          <w:rFonts w:cs="Arial"/>
        </w:rPr>
        <w:t xml:space="preserve">Demande de subvention dans le cadre du programme Nouveaux Horizons pour les aînés – Projets communautaires 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6C475FB7" w14:textId="7E7653A4" w:rsidR="004D5146" w:rsidRDefault="00504588" w:rsidP="001869B9">
      <w:pPr>
        <w:pStyle w:val="Sansinterligne"/>
        <w:rPr>
          <w:rFonts w:cs="Arial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6F25A5" wp14:editId="51D9DA25">
            <wp:simplePos x="0" y="0"/>
            <wp:positionH relativeFrom="column">
              <wp:posOffset>-373380</wp:posOffset>
            </wp:positionH>
            <wp:positionV relativeFrom="paragraph">
              <wp:posOffset>200660</wp:posOffset>
            </wp:positionV>
            <wp:extent cx="3172968" cy="1520952"/>
            <wp:effectExtent l="0" t="0" r="8890" b="3175"/>
            <wp:wrapNone/>
            <wp:docPr id="1826279695" name="Image 1" descr="Une image contenant texte, Police, ligne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79695" name="Image 1" descr="Une image contenant texte, Police, ligne, écriture manuscri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040F4" w14:textId="50A9001E" w:rsidR="00504588" w:rsidRPr="004D5146" w:rsidRDefault="00504588" w:rsidP="001869B9">
      <w:pPr>
        <w:pStyle w:val="Sansinterligne"/>
        <w:rPr>
          <w:rFonts w:cs="Arial"/>
        </w:rPr>
      </w:pPr>
    </w:p>
    <w:sectPr w:rsidR="00504588" w:rsidRPr="004D5146" w:rsidSect="00C90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693B" w14:textId="77777777" w:rsidR="00E94DC9" w:rsidRDefault="00E94DC9" w:rsidP="006433A1">
      <w:r>
        <w:separator/>
      </w:r>
    </w:p>
  </w:endnote>
  <w:endnote w:type="continuationSeparator" w:id="0">
    <w:p w14:paraId="0379E2B0" w14:textId="77777777" w:rsidR="00E94DC9" w:rsidRDefault="00E94DC9" w:rsidP="006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038" w14:textId="77777777" w:rsidR="006433A1" w:rsidRDefault="006433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868E" w14:textId="77777777" w:rsidR="006433A1" w:rsidRDefault="006433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CD64" w14:textId="77777777" w:rsidR="006433A1" w:rsidRDefault="006433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EEE1" w14:textId="77777777" w:rsidR="00E94DC9" w:rsidRDefault="00E94DC9" w:rsidP="006433A1">
      <w:r>
        <w:separator/>
      </w:r>
    </w:p>
  </w:footnote>
  <w:footnote w:type="continuationSeparator" w:id="0">
    <w:p w14:paraId="1795F118" w14:textId="77777777" w:rsidR="00E94DC9" w:rsidRDefault="00E94DC9" w:rsidP="0064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A35" w14:textId="4C0485E8" w:rsidR="006433A1" w:rsidRDefault="006433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B468" w14:textId="6491E275" w:rsidR="006433A1" w:rsidRDefault="006433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22F" w14:textId="2CAEE143" w:rsidR="006433A1" w:rsidRDefault="006433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3C42"/>
    <w:rsid w:val="00006CFE"/>
    <w:rsid w:val="00012BA1"/>
    <w:rsid w:val="00052FDE"/>
    <w:rsid w:val="000764B0"/>
    <w:rsid w:val="00082714"/>
    <w:rsid w:val="000C5371"/>
    <w:rsid w:val="00105603"/>
    <w:rsid w:val="00105B93"/>
    <w:rsid w:val="00106A32"/>
    <w:rsid w:val="00120E00"/>
    <w:rsid w:val="00122685"/>
    <w:rsid w:val="00134FAA"/>
    <w:rsid w:val="00145F3D"/>
    <w:rsid w:val="00172C49"/>
    <w:rsid w:val="00177783"/>
    <w:rsid w:val="001869B9"/>
    <w:rsid w:val="001C138B"/>
    <w:rsid w:val="001C7C81"/>
    <w:rsid w:val="001E1323"/>
    <w:rsid w:val="001F15FF"/>
    <w:rsid w:val="00202493"/>
    <w:rsid w:val="002225CD"/>
    <w:rsid w:val="0022759B"/>
    <w:rsid w:val="00231806"/>
    <w:rsid w:val="00231BD2"/>
    <w:rsid w:val="002721F1"/>
    <w:rsid w:val="00285A8E"/>
    <w:rsid w:val="002B3655"/>
    <w:rsid w:val="002B47A0"/>
    <w:rsid w:val="002D457C"/>
    <w:rsid w:val="002F3312"/>
    <w:rsid w:val="003127AF"/>
    <w:rsid w:val="00314F0E"/>
    <w:rsid w:val="003254E9"/>
    <w:rsid w:val="00344795"/>
    <w:rsid w:val="003507B0"/>
    <w:rsid w:val="00376AC1"/>
    <w:rsid w:val="00390474"/>
    <w:rsid w:val="003D3157"/>
    <w:rsid w:val="003E1D90"/>
    <w:rsid w:val="003E41C8"/>
    <w:rsid w:val="0040012F"/>
    <w:rsid w:val="00404532"/>
    <w:rsid w:val="00413A0F"/>
    <w:rsid w:val="00413E11"/>
    <w:rsid w:val="00423D37"/>
    <w:rsid w:val="00427C12"/>
    <w:rsid w:val="00476376"/>
    <w:rsid w:val="00484B75"/>
    <w:rsid w:val="00485556"/>
    <w:rsid w:val="00492EC9"/>
    <w:rsid w:val="00492F84"/>
    <w:rsid w:val="004A5433"/>
    <w:rsid w:val="004A6A9D"/>
    <w:rsid w:val="004B4B4C"/>
    <w:rsid w:val="004B6AF8"/>
    <w:rsid w:val="004C7F13"/>
    <w:rsid w:val="004D5146"/>
    <w:rsid w:val="004E6DAA"/>
    <w:rsid w:val="004F71A2"/>
    <w:rsid w:val="005009D6"/>
    <w:rsid w:val="005032E0"/>
    <w:rsid w:val="00504588"/>
    <w:rsid w:val="005135E8"/>
    <w:rsid w:val="0051406B"/>
    <w:rsid w:val="00514656"/>
    <w:rsid w:val="00525B2C"/>
    <w:rsid w:val="00534564"/>
    <w:rsid w:val="0053588A"/>
    <w:rsid w:val="00546A9D"/>
    <w:rsid w:val="00554AC4"/>
    <w:rsid w:val="00565B6D"/>
    <w:rsid w:val="00573B89"/>
    <w:rsid w:val="00577AA4"/>
    <w:rsid w:val="0058657D"/>
    <w:rsid w:val="00586F7C"/>
    <w:rsid w:val="0059475D"/>
    <w:rsid w:val="005A5EB4"/>
    <w:rsid w:val="005B1A84"/>
    <w:rsid w:val="005D1DE6"/>
    <w:rsid w:val="005F3208"/>
    <w:rsid w:val="005F6771"/>
    <w:rsid w:val="00620F45"/>
    <w:rsid w:val="0062416C"/>
    <w:rsid w:val="00627674"/>
    <w:rsid w:val="00633060"/>
    <w:rsid w:val="006433A1"/>
    <w:rsid w:val="00672E19"/>
    <w:rsid w:val="00696097"/>
    <w:rsid w:val="006A0F82"/>
    <w:rsid w:val="006A1FF3"/>
    <w:rsid w:val="006B6376"/>
    <w:rsid w:val="006D1F5D"/>
    <w:rsid w:val="0070445B"/>
    <w:rsid w:val="0071173C"/>
    <w:rsid w:val="007227D3"/>
    <w:rsid w:val="0073110B"/>
    <w:rsid w:val="0073224A"/>
    <w:rsid w:val="007348D6"/>
    <w:rsid w:val="00736548"/>
    <w:rsid w:val="0074059D"/>
    <w:rsid w:val="007420BA"/>
    <w:rsid w:val="00745BA0"/>
    <w:rsid w:val="0076425E"/>
    <w:rsid w:val="00771CBD"/>
    <w:rsid w:val="00783FF8"/>
    <w:rsid w:val="007B6A99"/>
    <w:rsid w:val="007D4CAC"/>
    <w:rsid w:val="007F5D88"/>
    <w:rsid w:val="00816AD9"/>
    <w:rsid w:val="008203CB"/>
    <w:rsid w:val="0082200D"/>
    <w:rsid w:val="0082664A"/>
    <w:rsid w:val="00854EFD"/>
    <w:rsid w:val="00870FF6"/>
    <w:rsid w:val="00872DCA"/>
    <w:rsid w:val="00874731"/>
    <w:rsid w:val="0088562D"/>
    <w:rsid w:val="008A07BB"/>
    <w:rsid w:val="008A40BA"/>
    <w:rsid w:val="008C4919"/>
    <w:rsid w:val="008E212A"/>
    <w:rsid w:val="008E6FA4"/>
    <w:rsid w:val="008F1060"/>
    <w:rsid w:val="00903124"/>
    <w:rsid w:val="00903302"/>
    <w:rsid w:val="00907709"/>
    <w:rsid w:val="00915664"/>
    <w:rsid w:val="00953B54"/>
    <w:rsid w:val="00986CA4"/>
    <w:rsid w:val="009A64CC"/>
    <w:rsid w:val="009D015E"/>
    <w:rsid w:val="009D7E38"/>
    <w:rsid w:val="009E2C9C"/>
    <w:rsid w:val="009E65EC"/>
    <w:rsid w:val="009F77AA"/>
    <w:rsid w:val="00A226F9"/>
    <w:rsid w:val="00A45B64"/>
    <w:rsid w:val="00A54E88"/>
    <w:rsid w:val="00A7046D"/>
    <w:rsid w:val="00A72E65"/>
    <w:rsid w:val="00A86E68"/>
    <w:rsid w:val="00A94450"/>
    <w:rsid w:val="00AB1C02"/>
    <w:rsid w:val="00AC0E83"/>
    <w:rsid w:val="00AC7C3F"/>
    <w:rsid w:val="00AD19B3"/>
    <w:rsid w:val="00AE73E7"/>
    <w:rsid w:val="00AF7A89"/>
    <w:rsid w:val="00B00609"/>
    <w:rsid w:val="00B0191F"/>
    <w:rsid w:val="00B072D9"/>
    <w:rsid w:val="00B11F85"/>
    <w:rsid w:val="00B423F2"/>
    <w:rsid w:val="00B55E33"/>
    <w:rsid w:val="00B5775B"/>
    <w:rsid w:val="00B62E60"/>
    <w:rsid w:val="00B63B4D"/>
    <w:rsid w:val="00B77292"/>
    <w:rsid w:val="00BA261C"/>
    <w:rsid w:val="00BA338B"/>
    <w:rsid w:val="00BC33D3"/>
    <w:rsid w:val="00BF2760"/>
    <w:rsid w:val="00BF4B48"/>
    <w:rsid w:val="00C1109F"/>
    <w:rsid w:val="00C225AC"/>
    <w:rsid w:val="00C25506"/>
    <w:rsid w:val="00C26F95"/>
    <w:rsid w:val="00C42C74"/>
    <w:rsid w:val="00C441EE"/>
    <w:rsid w:val="00C514AE"/>
    <w:rsid w:val="00C577C1"/>
    <w:rsid w:val="00C628D8"/>
    <w:rsid w:val="00C703DD"/>
    <w:rsid w:val="00C84B23"/>
    <w:rsid w:val="00C90CED"/>
    <w:rsid w:val="00CB3372"/>
    <w:rsid w:val="00CC5F42"/>
    <w:rsid w:val="00CE4D69"/>
    <w:rsid w:val="00CE4E99"/>
    <w:rsid w:val="00CE7EEE"/>
    <w:rsid w:val="00D03437"/>
    <w:rsid w:val="00D23370"/>
    <w:rsid w:val="00D266C9"/>
    <w:rsid w:val="00D32721"/>
    <w:rsid w:val="00D47CA1"/>
    <w:rsid w:val="00D646C2"/>
    <w:rsid w:val="00D72E2D"/>
    <w:rsid w:val="00D9051C"/>
    <w:rsid w:val="00D943A3"/>
    <w:rsid w:val="00DC1A4D"/>
    <w:rsid w:val="00DF77CD"/>
    <w:rsid w:val="00E07FA0"/>
    <w:rsid w:val="00E13A53"/>
    <w:rsid w:val="00E23111"/>
    <w:rsid w:val="00E45A81"/>
    <w:rsid w:val="00E532E0"/>
    <w:rsid w:val="00E7368E"/>
    <w:rsid w:val="00E8695D"/>
    <w:rsid w:val="00E94DC9"/>
    <w:rsid w:val="00E96522"/>
    <w:rsid w:val="00E96FE0"/>
    <w:rsid w:val="00EB3EE1"/>
    <w:rsid w:val="00ED1F7F"/>
    <w:rsid w:val="00F14EF2"/>
    <w:rsid w:val="00F17860"/>
    <w:rsid w:val="00F22978"/>
    <w:rsid w:val="00F32FC0"/>
    <w:rsid w:val="00F521AA"/>
    <w:rsid w:val="00F52550"/>
    <w:rsid w:val="00F70425"/>
    <w:rsid w:val="00F867EE"/>
    <w:rsid w:val="00F91B7C"/>
    <w:rsid w:val="00FC22C9"/>
    <w:rsid w:val="00FE41F3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433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33A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433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3A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2E36-E62A-42CB-8A15-D847CEC7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Myrian Nadon</cp:lastModifiedBy>
  <cp:revision>5</cp:revision>
  <cp:lastPrinted>2023-09-06T17:55:00Z</cp:lastPrinted>
  <dcterms:created xsi:type="dcterms:W3CDTF">2023-09-08T14:33:00Z</dcterms:created>
  <dcterms:modified xsi:type="dcterms:W3CDTF">2023-09-08T14:42:00Z</dcterms:modified>
</cp:coreProperties>
</file>