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5C9" w:rsidRPr="00111370" w:rsidRDefault="004945C9" w:rsidP="004945C9">
      <w:pPr>
        <w:pStyle w:val="Sansinterligne"/>
        <w:rPr>
          <w:sz w:val="21"/>
          <w:szCs w:val="21"/>
          <w:lang w:val="fr-CA"/>
        </w:rPr>
      </w:pPr>
      <w:r w:rsidRPr="00111370">
        <w:rPr>
          <w:sz w:val="21"/>
          <w:szCs w:val="21"/>
          <w:lang w:val="fr-CA"/>
        </w:rPr>
        <w:t>PROVINCE DE QUÉBEC</w:t>
      </w:r>
    </w:p>
    <w:p w:rsidR="004945C9" w:rsidRPr="00111370" w:rsidRDefault="004945C9" w:rsidP="004945C9">
      <w:pPr>
        <w:pStyle w:val="Sansinterligne"/>
        <w:rPr>
          <w:sz w:val="21"/>
          <w:szCs w:val="21"/>
          <w:lang w:val="fr-CA"/>
        </w:rPr>
      </w:pPr>
      <w:r w:rsidRPr="00111370">
        <w:rPr>
          <w:sz w:val="21"/>
          <w:szCs w:val="21"/>
          <w:lang w:val="fr-CA"/>
        </w:rPr>
        <w:t>MRC D’ARGENTEUIL</w:t>
      </w:r>
    </w:p>
    <w:p w:rsidR="004945C9" w:rsidRPr="00111370" w:rsidRDefault="004945C9" w:rsidP="004945C9">
      <w:pPr>
        <w:pStyle w:val="Sansinterligne"/>
        <w:rPr>
          <w:sz w:val="21"/>
          <w:szCs w:val="21"/>
          <w:lang w:val="fr-CA"/>
        </w:rPr>
      </w:pPr>
      <w:r w:rsidRPr="00111370">
        <w:rPr>
          <w:sz w:val="21"/>
          <w:szCs w:val="21"/>
          <w:lang w:val="fr-CA"/>
        </w:rPr>
        <w:t>MUNICIPALITÉ DE GRENVILLE-SUR-LA-ROUGE</w:t>
      </w:r>
    </w:p>
    <w:p w:rsidR="004945C9" w:rsidRPr="00111370" w:rsidRDefault="004945C9" w:rsidP="004945C9">
      <w:pPr>
        <w:pStyle w:val="Sansinterligne"/>
        <w:rPr>
          <w:sz w:val="21"/>
          <w:szCs w:val="21"/>
          <w:lang w:val="fr-CA"/>
        </w:rPr>
      </w:pPr>
    </w:p>
    <w:p w:rsidR="004945C9" w:rsidRPr="00111370" w:rsidRDefault="004945C9" w:rsidP="004945C9">
      <w:pPr>
        <w:pStyle w:val="Sansinterligne"/>
        <w:rPr>
          <w:b/>
          <w:sz w:val="21"/>
          <w:szCs w:val="21"/>
          <w:u w:val="single"/>
          <w:lang w:val="fr-CA"/>
        </w:rPr>
      </w:pPr>
      <w:r w:rsidRPr="00111370">
        <w:rPr>
          <w:b/>
          <w:sz w:val="21"/>
          <w:szCs w:val="21"/>
          <w:u w:val="single"/>
          <w:lang w:val="fr-CA"/>
        </w:rPr>
        <w:t>RÈGLEMENT RU-908-04-2018</w:t>
      </w:r>
    </w:p>
    <w:p w:rsidR="004945C9" w:rsidRPr="00111370" w:rsidRDefault="004945C9" w:rsidP="004945C9">
      <w:pPr>
        <w:pStyle w:val="Sansinterligne"/>
        <w:rPr>
          <w:b/>
          <w:sz w:val="21"/>
          <w:szCs w:val="21"/>
          <w:u w:val="single"/>
          <w:lang w:val="fr-CA"/>
        </w:rPr>
      </w:pPr>
    </w:p>
    <w:p w:rsidR="004945C9" w:rsidRPr="00111370" w:rsidRDefault="004945C9" w:rsidP="004945C9">
      <w:pPr>
        <w:pStyle w:val="Sansinterligne"/>
        <w:jc w:val="both"/>
        <w:rPr>
          <w:b/>
          <w:sz w:val="21"/>
          <w:szCs w:val="21"/>
          <w:lang w:val="fr-CA"/>
        </w:rPr>
      </w:pPr>
      <w:r w:rsidRPr="00111370">
        <w:rPr>
          <w:b/>
          <w:sz w:val="21"/>
          <w:szCs w:val="21"/>
          <w:lang w:val="fr-CA"/>
        </w:rPr>
        <w:t>RÈGLEMENT AMENDANT LE RÈGLEMENT RU-901-2014 SUR L’ADMINISTRATION DES RÈGLEMENTS D’URBANISME</w:t>
      </w:r>
    </w:p>
    <w:p w:rsidR="004945C9" w:rsidRPr="00111370" w:rsidRDefault="004945C9" w:rsidP="004945C9">
      <w:pPr>
        <w:pStyle w:val="Sansinterligne"/>
        <w:jc w:val="both"/>
        <w:rPr>
          <w:b/>
          <w:sz w:val="21"/>
          <w:szCs w:val="21"/>
          <w:lang w:val="fr-CA"/>
        </w:rPr>
      </w:pPr>
    </w:p>
    <w:p w:rsidR="004945C9" w:rsidRDefault="004945C9" w:rsidP="00111370">
      <w:pPr>
        <w:pStyle w:val="Sansinterligne"/>
        <w:ind w:left="1416" w:hanging="1410"/>
        <w:jc w:val="both"/>
        <w:rPr>
          <w:sz w:val="21"/>
          <w:szCs w:val="21"/>
          <w:lang w:val="fr-CA"/>
        </w:rPr>
      </w:pPr>
      <w:r w:rsidRPr="00111370">
        <w:rPr>
          <w:sz w:val="21"/>
          <w:szCs w:val="21"/>
          <w:lang w:val="fr-CA"/>
        </w:rPr>
        <w:t>ATTENDU QUE</w:t>
      </w:r>
      <w:r w:rsidRPr="00111370">
        <w:rPr>
          <w:sz w:val="21"/>
          <w:szCs w:val="21"/>
          <w:lang w:val="fr-CA"/>
        </w:rPr>
        <w:tab/>
        <w:t>la Municipalité de Grenville-sur-la-Rouge a adopté un règlement d’administration des règlements d’urbanisme numéro RU-901-2014 pour l’ensemble de son territoire;</w:t>
      </w:r>
    </w:p>
    <w:p w:rsidR="00111370" w:rsidRDefault="00111370" w:rsidP="00111370">
      <w:pPr>
        <w:pStyle w:val="Sansinterligne"/>
        <w:ind w:left="1416" w:hanging="1410"/>
        <w:jc w:val="both"/>
        <w:rPr>
          <w:sz w:val="21"/>
          <w:szCs w:val="21"/>
          <w:lang w:val="fr-CA"/>
        </w:rPr>
      </w:pPr>
    </w:p>
    <w:p w:rsidR="00111370" w:rsidRDefault="00111370" w:rsidP="00111370">
      <w:pPr>
        <w:pStyle w:val="Sansinterligne"/>
        <w:ind w:left="1416" w:hanging="1410"/>
        <w:jc w:val="both"/>
        <w:rPr>
          <w:sz w:val="21"/>
          <w:szCs w:val="21"/>
          <w:lang w:val="fr-CA"/>
        </w:rPr>
      </w:pPr>
      <w:r>
        <w:rPr>
          <w:sz w:val="21"/>
          <w:szCs w:val="21"/>
          <w:lang w:val="fr-CA"/>
        </w:rPr>
        <w:t>ATTENDU QUE</w:t>
      </w:r>
      <w:r>
        <w:rPr>
          <w:sz w:val="21"/>
          <w:szCs w:val="21"/>
          <w:lang w:val="fr-CA"/>
        </w:rPr>
        <w:tab/>
        <w:t>la Municipalité de Grenville-sur-la-Rouge désire adopter certains amendements à ce règlement d’administration des règlements d’urbanisme portant notamment sur certaines dispositions administratives et sur certaines dispositions relatives aux certificats d’autorisations;</w:t>
      </w:r>
    </w:p>
    <w:p w:rsidR="00111370" w:rsidRDefault="00111370" w:rsidP="00111370">
      <w:pPr>
        <w:pStyle w:val="Sansinterligne"/>
        <w:ind w:left="1416" w:hanging="1410"/>
        <w:jc w:val="both"/>
        <w:rPr>
          <w:sz w:val="21"/>
          <w:szCs w:val="21"/>
          <w:lang w:val="fr-CA"/>
        </w:rPr>
      </w:pPr>
    </w:p>
    <w:p w:rsidR="00111370" w:rsidRDefault="00111370" w:rsidP="00111370">
      <w:pPr>
        <w:pStyle w:val="Sansinterligne"/>
        <w:ind w:left="1416" w:hanging="1410"/>
        <w:jc w:val="both"/>
        <w:rPr>
          <w:sz w:val="21"/>
          <w:szCs w:val="21"/>
          <w:lang w:val="fr-CA"/>
        </w:rPr>
      </w:pPr>
      <w:r>
        <w:rPr>
          <w:sz w:val="21"/>
          <w:szCs w:val="21"/>
          <w:lang w:val="fr-CA"/>
        </w:rPr>
        <w:t>ATTENDU QU’</w:t>
      </w:r>
      <w:r>
        <w:rPr>
          <w:sz w:val="21"/>
          <w:szCs w:val="21"/>
          <w:lang w:val="fr-CA"/>
        </w:rPr>
        <w:tab/>
        <w:t>un avis de motion a été donné le 10 avril 2018;</w:t>
      </w:r>
    </w:p>
    <w:p w:rsidR="00111370" w:rsidRDefault="00111370" w:rsidP="00111370">
      <w:pPr>
        <w:pStyle w:val="Sansinterligne"/>
        <w:ind w:left="1416" w:hanging="1410"/>
        <w:jc w:val="both"/>
        <w:rPr>
          <w:sz w:val="21"/>
          <w:szCs w:val="21"/>
          <w:lang w:val="fr-CA"/>
        </w:rPr>
      </w:pPr>
    </w:p>
    <w:p w:rsidR="00111370" w:rsidRDefault="00111370" w:rsidP="00111370">
      <w:pPr>
        <w:pStyle w:val="Sansinterligne"/>
        <w:ind w:left="1416" w:hanging="1410"/>
        <w:jc w:val="both"/>
        <w:rPr>
          <w:sz w:val="21"/>
          <w:szCs w:val="21"/>
          <w:lang w:val="fr-CA"/>
        </w:rPr>
      </w:pPr>
      <w:r>
        <w:rPr>
          <w:sz w:val="21"/>
          <w:szCs w:val="21"/>
          <w:lang w:val="fr-CA"/>
        </w:rPr>
        <w:t>ATTENDU QUE</w:t>
      </w:r>
      <w:r>
        <w:rPr>
          <w:sz w:val="21"/>
          <w:szCs w:val="21"/>
          <w:lang w:val="fr-CA"/>
        </w:rPr>
        <w:tab/>
        <w:t>la Municipalité de Grenville-sur-la-Rouge a adopté un projet de règlement numéro RU-908-04-2018 pour l’ensemble de son territoire, en date du 10 avril 2018;</w:t>
      </w:r>
    </w:p>
    <w:p w:rsidR="00111370" w:rsidRDefault="00111370" w:rsidP="00111370">
      <w:pPr>
        <w:pStyle w:val="Sansinterligne"/>
        <w:ind w:left="1416" w:hanging="1410"/>
        <w:jc w:val="both"/>
        <w:rPr>
          <w:sz w:val="21"/>
          <w:szCs w:val="21"/>
          <w:lang w:val="fr-CA"/>
        </w:rPr>
      </w:pPr>
    </w:p>
    <w:p w:rsidR="00111370" w:rsidRDefault="00111370" w:rsidP="00111370">
      <w:pPr>
        <w:pStyle w:val="Sansinterligne"/>
        <w:ind w:left="1416" w:hanging="1410"/>
        <w:jc w:val="both"/>
        <w:rPr>
          <w:sz w:val="21"/>
          <w:szCs w:val="21"/>
          <w:lang w:val="fr-CA"/>
        </w:rPr>
      </w:pPr>
      <w:r>
        <w:rPr>
          <w:sz w:val="21"/>
          <w:szCs w:val="21"/>
          <w:lang w:val="fr-CA"/>
        </w:rPr>
        <w:t>ATTENDU QU’</w:t>
      </w:r>
      <w:r>
        <w:rPr>
          <w:sz w:val="21"/>
          <w:szCs w:val="21"/>
          <w:lang w:val="fr-CA"/>
        </w:rPr>
        <w:tab/>
        <w:t>une assemblée publique de consultation pour ce dit projet de règlement numéro RU-908-04-2017, s’est tenu le 8 mai 2018;</w:t>
      </w:r>
    </w:p>
    <w:p w:rsidR="008D4E7E" w:rsidRDefault="008D4E7E" w:rsidP="008D4E7E">
      <w:pPr>
        <w:pStyle w:val="Sansinterligne"/>
        <w:jc w:val="both"/>
        <w:rPr>
          <w:sz w:val="21"/>
          <w:szCs w:val="21"/>
          <w:lang w:val="fr-CA"/>
        </w:rPr>
      </w:pPr>
    </w:p>
    <w:p w:rsidR="008D4E7E" w:rsidRDefault="008D4E7E" w:rsidP="00111370">
      <w:pPr>
        <w:pStyle w:val="Sansinterligne"/>
        <w:ind w:left="1416" w:hanging="1410"/>
        <w:jc w:val="both"/>
        <w:rPr>
          <w:sz w:val="21"/>
          <w:szCs w:val="21"/>
          <w:lang w:val="fr-CA"/>
        </w:rPr>
      </w:pPr>
      <w:r>
        <w:rPr>
          <w:sz w:val="21"/>
          <w:szCs w:val="21"/>
          <w:lang w:val="fr-CA"/>
        </w:rPr>
        <w:t>ATTENDU QUE</w:t>
      </w:r>
      <w:r>
        <w:rPr>
          <w:sz w:val="21"/>
          <w:szCs w:val="21"/>
          <w:lang w:val="fr-CA"/>
        </w:rPr>
        <w:tab/>
        <w:t>la Municipalité de Grenville-sur-la-Rouge désire adopter, sans modification, en date du 8 mai 2018, le règlement RU-908-04-2018 amendant le règlement RU-901-2014 sur l’administration des règlements d’urbanisme;</w:t>
      </w:r>
    </w:p>
    <w:p w:rsidR="008D4E7E" w:rsidRDefault="008D4E7E" w:rsidP="00111370">
      <w:pPr>
        <w:pStyle w:val="Sansinterligne"/>
        <w:ind w:left="1416" w:hanging="1410"/>
        <w:jc w:val="both"/>
        <w:rPr>
          <w:sz w:val="21"/>
          <w:szCs w:val="21"/>
          <w:lang w:val="fr-CA"/>
        </w:rPr>
      </w:pPr>
    </w:p>
    <w:p w:rsidR="008D4E7E" w:rsidRPr="00111370" w:rsidRDefault="008D4E7E" w:rsidP="00111370">
      <w:pPr>
        <w:pStyle w:val="Sansinterligne"/>
        <w:ind w:left="1416" w:hanging="1410"/>
        <w:jc w:val="both"/>
        <w:rPr>
          <w:sz w:val="21"/>
          <w:szCs w:val="21"/>
          <w:lang w:val="fr-CA"/>
        </w:rPr>
      </w:pPr>
      <w:r>
        <w:rPr>
          <w:sz w:val="21"/>
          <w:szCs w:val="21"/>
          <w:lang w:val="fr-CA"/>
        </w:rPr>
        <w:t>ATTENDU QU’</w:t>
      </w:r>
      <w:r>
        <w:rPr>
          <w:sz w:val="21"/>
          <w:szCs w:val="21"/>
          <w:lang w:val="fr-CA"/>
        </w:rPr>
        <w:tab/>
        <w:t>une dispense de lecture a été demandée lors de l’avis de motion et que chacun des membres du conseil reconnaît avoir reçu une copie du règlement, déclare l’avoir lu et renonce à sa lecture;</w:t>
      </w:r>
    </w:p>
    <w:p w:rsidR="004945C9" w:rsidRPr="00111370" w:rsidRDefault="004945C9" w:rsidP="004945C9">
      <w:pPr>
        <w:pStyle w:val="Sansinterligne"/>
        <w:jc w:val="both"/>
        <w:rPr>
          <w:sz w:val="21"/>
          <w:szCs w:val="21"/>
          <w:lang w:val="fr-CA"/>
        </w:rPr>
      </w:pPr>
    </w:p>
    <w:p w:rsidR="004945C9" w:rsidRPr="00111370" w:rsidRDefault="004945C9" w:rsidP="004945C9">
      <w:pPr>
        <w:pStyle w:val="Sansinterligne"/>
        <w:jc w:val="both"/>
        <w:rPr>
          <w:sz w:val="21"/>
          <w:szCs w:val="21"/>
          <w:lang w:val="fr-CA"/>
        </w:rPr>
      </w:pPr>
      <w:r w:rsidRPr="00111370">
        <w:rPr>
          <w:sz w:val="21"/>
          <w:szCs w:val="21"/>
          <w:lang w:val="fr-CA"/>
        </w:rPr>
        <w:t>EN CONSÉQUENCE, la Municipalité de Grenville-sur-la-Rouge décrète ce qui suit :</w:t>
      </w:r>
    </w:p>
    <w:p w:rsidR="004945C9" w:rsidRPr="00111370" w:rsidRDefault="004945C9" w:rsidP="004945C9">
      <w:pPr>
        <w:pStyle w:val="Sansinterligne"/>
        <w:jc w:val="both"/>
        <w:rPr>
          <w:sz w:val="21"/>
          <w:szCs w:val="21"/>
          <w:lang w:val="fr-CA"/>
        </w:rPr>
      </w:pPr>
    </w:p>
    <w:p w:rsidR="004945C9" w:rsidRPr="00111370" w:rsidRDefault="004945C9" w:rsidP="004945C9">
      <w:pPr>
        <w:pStyle w:val="Sansinterligne"/>
        <w:jc w:val="both"/>
        <w:rPr>
          <w:b/>
          <w:sz w:val="21"/>
          <w:szCs w:val="21"/>
          <w:u w:val="single"/>
          <w:lang w:val="fr-CA"/>
        </w:rPr>
      </w:pPr>
      <w:r w:rsidRPr="00111370">
        <w:rPr>
          <w:b/>
          <w:sz w:val="21"/>
          <w:szCs w:val="21"/>
          <w:u w:val="single"/>
          <w:lang w:val="fr-CA"/>
        </w:rPr>
        <w:t>ARTICLE 1</w:t>
      </w:r>
    </w:p>
    <w:p w:rsidR="004945C9" w:rsidRPr="00111370" w:rsidRDefault="004945C9" w:rsidP="004945C9">
      <w:pPr>
        <w:pStyle w:val="Sansinterligne"/>
        <w:jc w:val="both"/>
        <w:rPr>
          <w:b/>
          <w:sz w:val="21"/>
          <w:szCs w:val="21"/>
          <w:u w:val="single"/>
          <w:lang w:val="fr-CA"/>
        </w:rPr>
      </w:pPr>
    </w:p>
    <w:p w:rsidR="004945C9" w:rsidRPr="00111370" w:rsidRDefault="004945C9" w:rsidP="004945C9">
      <w:pPr>
        <w:pStyle w:val="Sansinterligne"/>
        <w:jc w:val="both"/>
        <w:rPr>
          <w:sz w:val="21"/>
          <w:szCs w:val="21"/>
          <w:lang w:val="fr-CA"/>
        </w:rPr>
      </w:pPr>
      <w:r w:rsidRPr="00111370">
        <w:rPr>
          <w:sz w:val="21"/>
          <w:szCs w:val="21"/>
          <w:lang w:val="fr-CA"/>
        </w:rPr>
        <w:t>Le préambule du présent règlement en fait partie intégrante comme s’il était ici reproduit.</w:t>
      </w:r>
    </w:p>
    <w:p w:rsidR="004945C9" w:rsidRPr="00111370" w:rsidRDefault="004945C9" w:rsidP="004945C9">
      <w:pPr>
        <w:pStyle w:val="Sansinterligne"/>
        <w:jc w:val="both"/>
        <w:rPr>
          <w:sz w:val="21"/>
          <w:szCs w:val="21"/>
          <w:lang w:val="fr-CA"/>
        </w:rPr>
      </w:pPr>
    </w:p>
    <w:p w:rsidR="004945C9" w:rsidRPr="00111370" w:rsidRDefault="004945C9" w:rsidP="004945C9">
      <w:pPr>
        <w:pStyle w:val="Sansinterligne"/>
        <w:jc w:val="both"/>
        <w:rPr>
          <w:b/>
          <w:sz w:val="21"/>
          <w:szCs w:val="21"/>
          <w:u w:val="single"/>
          <w:lang w:val="fr-CA"/>
        </w:rPr>
      </w:pPr>
      <w:r w:rsidRPr="00111370">
        <w:rPr>
          <w:b/>
          <w:sz w:val="21"/>
          <w:szCs w:val="21"/>
          <w:u w:val="single"/>
          <w:lang w:val="fr-CA"/>
        </w:rPr>
        <w:t>ARTICLE 2</w:t>
      </w:r>
    </w:p>
    <w:p w:rsidR="004945C9" w:rsidRPr="00111370" w:rsidRDefault="004945C9" w:rsidP="004945C9">
      <w:pPr>
        <w:pStyle w:val="Sansinterligne"/>
        <w:jc w:val="both"/>
        <w:rPr>
          <w:b/>
          <w:sz w:val="21"/>
          <w:szCs w:val="21"/>
          <w:u w:val="single"/>
          <w:lang w:val="fr-CA"/>
        </w:rPr>
      </w:pPr>
    </w:p>
    <w:p w:rsidR="004945C9" w:rsidRPr="00111370" w:rsidRDefault="004945C9" w:rsidP="004945C9">
      <w:pPr>
        <w:pStyle w:val="Sansinterligne"/>
        <w:jc w:val="both"/>
        <w:rPr>
          <w:sz w:val="21"/>
          <w:szCs w:val="21"/>
          <w:lang w:val="fr-CA"/>
        </w:rPr>
      </w:pPr>
      <w:r w:rsidRPr="00111370">
        <w:rPr>
          <w:sz w:val="21"/>
          <w:szCs w:val="21"/>
          <w:lang w:val="fr-CA"/>
        </w:rPr>
        <w:t xml:space="preserve">Le règlement d’administration des règlements d’urbanisme numéro RU-901-2014 est modifié en ajoutant deux paragraphes à </w:t>
      </w:r>
      <w:r w:rsidRPr="00111370">
        <w:rPr>
          <w:b/>
          <w:sz w:val="21"/>
          <w:szCs w:val="21"/>
          <w:lang w:val="fr-CA"/>
        </w:rPr>
        <w:t>l’article 11. Règlements administrés et appliqués par le fonctionnaire désigné</w:t>
      </w:r>
      <w:r w:rsidRPr="00111370">
        <w:rPr>
          <w:sz w:val="21"/>
          <w:szCs w:val="21"/>
          <w:lang w:val="fr-CA"/>
        </w:rPr>
        <w:t>, lesquels se lisent comme suit :</w:t>
      </w:r>
    </w:p>
    <w:p w:rsidR="004945C9" w:rsidRPr="00111370" w:rsidRDefault="004945C9" w:rsidP="004945C9">
      <w:pPr>
        <w:pStyle w:val="Sansinterligne"/>
        <w:jc w:val="both"/>
        <w:rPr>
          <w:sz w:val="21"/>
          <w:szCs w:val="21"/>
          <w:lang w:val="fr-CA"/>
        </w:rPr>
      </w:pPr>
    </w:p>
    <w:p w:rsidR="004945C9" w:rsidRPr="00111370" w:rsidRDefault="004945C9" w:rsidP="004945C9">
      <w:pPr>
        <w:pStyle w:val="Sansinterligne"/>
        <w:jc w:val="both"/>
        <w:rPr>
          <w:sz w:val="21"/>
          <w:szCs w:val="21"/>
          <w:lang w:val="fr-CA"/>
        </w:rPr>
      </w:pPr>
      <w:r w:rsidRPr="00111370">
        <w:rPr>
          <w:sz w:val="21"/>
          <w:szCs w:val="21"/>
          <w:lang w:val="fr-CA"/>
        </w:rPr>
        <w:tab/>
        <w:t>4-</w:t>
      </w:r>
      <w:r w:rsidRPr="00111370">
        <w:rPr>
          <w:sz w:val="21"/>
          <w:szCs w:val="21"/>
          <w:lang w:val="fr-CA"/>
        </w:rPr>
        <w:tab/>
        <w:t>Le règlement relatif aux plans d’implantation et d’intégration architecturale;</w:t>
      </w:r>
    </w:p>
    <w:p w:rsidR="004945C9" w:rsidRPr="00111370" w:rsidRDefault="004945C9" w:rsidP="004945C9">
      <w:pPr>
        <w:pStyle w:val="Sansinterligne"/>
        <w:jc w:val="both"/>
        <w:rPr>
          <w:sz w:val="21"/>
          <w:szCs w:val="21"/>
          <w:lang w:val="fr-CA"/>
        </w:rPr>
      </w:pPr>
    </w:p>
    <w:p w:rsidR="004945C9" w:rsidRPr="00111370" w:rsidRDefault="004945C9" w:rsidP="004945C9">
      <w:pPr>
        <w:pStyle w:val="Sansinterligne"/>
        <w:jc w:val="both"/>
        <w:rPr>
          <w:sz w:val="21"/>
          <w:szCs w:val="21"/>
          <w:lang w:val="fr-CA"/>
        </w:rPr>
      </w:pPr>
      <w:r w:rsidRPr="00111370">
        <w:rPr>
          <w:sz w:val="21"/>
          <w:szCs w:val="21"/>
          <w:lang w:val="fr-CA"/>
        </w:rPr>
        <w:tab/>
        <w:t>5-</w:t>
      </w:r>
      <w:r w:rsidRPr="00111370">
        <w:rPr>
          <w:sz w:val="21"/>
          <w:szCs w:val="21"/>
          <w:lang w:val="fr-CA"/>
        </w:rPr>
        <w:tab/>
        <w:t>Le règlement sur les dérogations mineures;</w:t>
      </w:r>
    </w:p>
    <w:p w:rsidR="004945C9" w:rsidRPr="00111370" w:rsidRDefault="004945C9" w:rsidP="004945C9">
      <w:pPr>
        <w:pStyle w:val="Sansinterligne"/>
        <w:jc w:val="both"/>
        <w:rPr>
          <w:sz w:val="21"/>
          <w:szCs w:val="21"/>
          <w:lang w:val="fr-CA"/>
        </w:rPr>
      </w:pPr>
    </w:p>
    <w:p w:rsidR="004945C9" w:rsidRPr="00111370" w:rsidRDefault="004945C9" w:rsidP="004945C9">
      <w:pPr>
        <w:pStyle w:val="Sansinterligne"/>
        <w:jc w:val="both"/>
        <w:rPr>
          <w:b/>
          <w:sz w:val="21"/>
          <w:szCs w:val="21"/>
          <w:u w:val="single"/>
          <w:lang w:val="fr-CA"/>
        </w:rPr>
      </w:pPr>
      <w:r w:rsidRPr="00111370">
        <w:rPr>
          <w:b/>
          <w:sz w:val="21"/>
          <w:szCs w:val="21"/>
          <w:u w:val="single"/>
          <w:lang w:val="fr-CA"/>
        </w:rPr>
        <w:t>ARTICLE 3</w:t>
      </w:r>
    </w:p>
    <w:p w:rsidR="004945C9" w:rsidRPr="00111370" w:rsidRDefault="004945C9" w:rsidP="004945C9">
      <w:pPr>
        <w:pStyle w:val="Sansinterligne"/>
        <w:jc w:val="both"/>
        <w:rPr>
          <w:b/>
          <w:sz w:val="21"/>
          <w:szCs w:val="21"/>
          <w:u w:val="single"/>
          <w:lang w:val="fr-CA"/>
        </w:rPr>
      </w:pPr>
    </w:p>
    <w:p w:rsidR="004945C9" w:rsidRPr="00111370" w:rsidRDefault="004945C9" w:rsidP="004945C9">
      <w:pPr>
        <w:pStyle w:val="Sansinterligne"/>
        <w:jc w:val="both"/>
        <w:rPr>
          <w:sz w:val="21"/>
          <w:szCs w:val="21"/>
          <w:lang w:val="fr-CA"/>
        </w:rPr>
      </w:pPr>
      <w:r w:rsidRPr="00111370">
        <w:rPr>
          <w:sz w:val="21"/>
          <w:szCs w:val="21"/>
          <w:lang w:val="fr-CA"/>
        </w:rPr>
        <w:t xml:space="preserve">Le règlement d’administration des règlements d’urbanisme numéro RU-901-2014 est modifié en modifiant le paragraphe 14 du </w:t>
      </w:r>
      <w:r w:rsidRPr="00111370">
        <w:rPr>
          <w:b/>
          <w:sz w:val="21"/>
          <w:szCs w:val="21"/>
          <w:u w:val="single"/>
          <w:lang w:val="fr-CA"/>
        </w:rPr>
        <w:t>Chapitre 5 – Dispositions relatives aux certificats d’autorisations</w:t>
      </w:r>
      <w:r w:rsidRPr="00111370">
        <w:rPr>
          <w:sz w:val="21"/>
          <w:szCs w:val="21"/>
          <w:lang w:val="fr-CA"/>
        </w:rPr>
        <w:t xml:space="preserve">, à </w:t>
      </w:r>
      <w:r w:rsidRPr="00111370">
        <w:rPr>
          <w:b/>
          <w:sz w:val="21"/>
          <w:szCs w:val="21"/>
          <w:lang w:val="fr-CA"/>
        </w:rPr>
        <w:t>l’article 57. Travaux assujettis</w:t>
      </w:r>
      <w:r w:rsidRPr="00111370">
        <w:rPr>
          <w:sz w:val="21"/>
          <w:szCs w:val="21"/>
          <w:lang w:val="fr-CA"/>
        </w:rPr>
        <w:t>, lequel se lit comme suit :</w:t>
      </w:r>
    </w:p>
    <w:p w:rsidR="004945C9" w:rsidRPr="00111370" w:rsidRDefault="004945C9" w:rsidP="004945C9">
      <w:pPr>
        <w:pStyle w:val="Sansinterligne"/>
        <w:jc w:val="both"/>
        <w:rPr>
          <w:sz w:val="21"/>
          <w:szCs w:val="21"/>
          <w:lang w:val="fr-CA"/>
        </w:rPr>
      </w:pPr>
    </w:p>
    <w:p w:rsidR="004945C9" w:rsidRPr="00111370" w:rsidRDefault="004945C9" w:rsidP="004945C9">
      <w:pPr>
        <w:pStyle w:val="Sansinterligne"/>
        <w:ind w:left="1416" w:hanging="711"/>
        <w:jc w:val="both"/>
        <w:rPr>
          <w:sz w:val="21"/>
          <w:szCs w:val="21"/>
          <w:lang w:val="fr-CA"/>
        </w:rPr>
      </w:pPr>
      <w:r w:rsidRPr="00111370">
        <w:rPr>
          <w:sz w:val="21"/>
          <w:szCs w:val="21"/>
          <w:lang w:val="fr-CA"/>
        </w:rPr>
        <w:t xml:space="preserve">14- </w:t>
      </w:r>
      <w:r w:rsidRPr="00111370">
        <w:rPr>
          <w:sz w:val="21"/>
          <w:szCs w:val="21"/>
          <w:lang w:val="fr-CA"/>
        </w:rPr>
        <w:tab/>
        <w:t>L’abattage d’un arbre dans une zone située à l’intérieur des limites du périmètre d’urbanisation.</w:t>
      </w:r>
    </w:p>
    <w:p w:rsidR="004945C9" w:rsidRPr="00111370" w:rsidRDefault="004945C9" w:rsidP="004945C9">
      <w:pPr>
        <w:pStyle w:val="Sansinterligne"/>
        <w:jc w:val="both"/>
        <w:rPr>
          <w:sz w:val="21"/>
          <w:szCs w:val="21"/>
          <w:lang w:val="fr-CA"/>
        </w:rPr>
      </w:pPr>
    </w:p>
    <w:p w:rsidR="004945C9" w:rsidRPr="00111370" w:rsidRDefault="004945C9" w:rsidP="004945C9">
      <w:pPr>
        <w:pStyle w:val="Sansinterligne"/>
        <w:jc w:val="both"/>
        <w:rPr>
          <w:b/>
          <w:sz w:val="21"/>
          <w:szCs w:val="21"/>
          <w:u w:val="single"/>
          <w:lang w:val="fr-CA"/>
        </w:rPr>
      </w:pPr>
      <w:r w:rsidRPr="00111370">
        <w:rPr>
          <w:b/>
          <w:sz w:val="21"/>
          <w:szCs w:val="21"/>
          <w:u w:val="single"/>
          <w:lang w:val="fr-CA"/>
        </w:rPr>
        <w:t>ARTICLE 4</w:t>
      </w:r>
    </w:p>
    <w:p w:rsidR="004945C9" w:rsidRPr="00111370" w:rsidRDefault="004945C9" w:rsidP="004945C9">
      <w:pPr>
        <w:pStyle w:val="Sansinterligne"/>
        <w:jc w:val="both"/>
        <w:rPr>
          <w:b/>
          <w:sz w:val="21"/>
          <w:szCs w:val="21"/>
          <w:u w:val="single"/>
          <w:lang w:val="fr-CA"/>
        </w:rPr>
      </w:pPr>
    </w:p>
    <w:p w:rsidR="004945C9" w:rsidRPr="00111370" w:rsidRDefault="004945C9" w:rsidP="004945C9">
      <w:pPr>
        <w:pStyle w:val="Sansinterligne"/>
        <w:jc w:val="both"/>
        <w:rPr>
          <w:sz w:val="21"/>
          <w:szCs w:val="21"/>
          <w:lang w:val="fr-CA"/>
        </w:rPr>
      </w:pPr>
      <w:r w:rsidRPr="00111370">
        <w:rPr>
          <w:sz w:val="21"/>
          <w:szCs w:val="21"/>
          <w:lang w:val="fr-CA"/>
        </w:rPr>
        <w:t xml:space="preserve">Le règlement d’administration des règlements d’urbanisme numéro RU-901-2014 est modifié en ajoutant un paragraphe à la suite du paragraphe 14 du </w:t>
      </w:r>
      <w:r w:rsidRPr="00111370">
        <w:rPr>
          <w:b/>
          <w:sz w:val="21"/>
          <w:szCs w:val="21"/>
          <w:u w:val="single"/>
          <w:lang w:val="fr-CA"/>
        </w:rPr>
        <w:t>Chapitre 5 – Dispositions relatives aux certificats d’autorisations</w:t>
      </w:r>
      <w:r w:rsidRPr="00111370">
        <w:rPr>
          <w:sz w:val="21"/>
          <w:szCs w:val="21"/>
          <w:lang w:val="fr-CA"/>
        </w:rPr>
        <w:t xml:space="preserve">, à </w:t>
      </w:r>
      <w:r w:rsidRPr="00111370">
        <w:rPr>
          <w:b/>
          <w:sz w:val="21"/>
          <w:szCs w:val="21"/>
          <w:lang w:val="fr-CA"/>
        </w:rPr>
        <w:t>l’article 57. Travaux assujettis</w:t>
      </w:r>
      <w:r w:rsidRPr="00111370">
        <w:rPr>
          <w:sz w:val="21"/>
          <w:szCs w:val="21"/>
          <w:lang w:val="fr-CA"/>
        </w:rPr>
        <w:t>, lequel se lit comme suit :</w:t>
      </w:r>
    </w:p>
    <w:p w:rsidR="004945C9" w:rsidRPr="00111370" w:rsidRDefault="004945C9" w:rsidP="004945C9">
      <w:pPr>
        <w:pStyle w:val="Sansinterligne"/>
        <w:jc w:val="both"/>
        <w:rPr>
          <w:sz w:val="21"/>
          <w:szCs w:val="21"/>
          <w:lang w:val="fr-CA"/>
        </w:rPr>
      </w:pPr>
    </w:p>
    <w:p w:rsidR="004945C9" w:rsidRPr="00111370" w:rsidRDefault="004945C9" w:rsidP="004945C9">
      <w:pPr>
        <w:pStyle w:val="Sansinterligne"/>
        <w:ind w:left="1416" w:hanging="711"/>
        <w:jc w:val="both"/>
        <w:rPr>
          <w:b/>
          <w:sz w:val="21"/>
          <w:szCs w:val="21"/>
          <w:lang w:val="fr-CA"/>
        </w:rPr>
      </w:pPr>
      <w:r w:rsidRPr="00111370">
        <w:rPr>
          <w:b/>
          <w:sz w:val="21"/>
          <w:szCs w:val="21"/>
          <w:lang w:val="fr-CA"/>
        </w:rPr>
        <w:t>67.1</w:t>
      </w:r>
      <w:r w:rsidRPr="00111370">
        <w:rPr>
          <w:b/>
          <w:sz w:val="21"/>
          <w:szCs w:val="21"/>
          <w:lang w:val="fr-CA"/>
        </w:rPr>
        <w:tab/>
        <w:t>Renseignements et documents additionnels requis pour l’abattage d’arbres totalisant plus de 100 cordes</w:t>
      </w:r>
    </w:p>
    <w:p w:rsidR="004945C9" w:rsidRPr="00111370" w:rsidRDefault="004945C9" w:rsidP="004945C9">
      <w:pPr>
        <w:pStyle w:val="Sansinterligne"/>
        <w:ind w:left="1416" w:hanging="711"/>
        <w:jc w:val="both"/>
        <w:rPr>
          <w:b/>
          <w:sz w:val="21"/>
          <w:szCs w:val="21"/>
          <w:lang w:val="fr-CA"/>
        </w:rPr>
      </w:pPr>
    </w:p>
    <w:p w:rsidR="004945C9" w:rsidRPr="00111370" w:rsidRDefault="004945C9" w:rsidP="004945C9">
      <w:pPr>
        <w:pStyle w:val="Sansinterligne"/>
        <w:ind w:left="1416" w:hanging="711"/>
        <w:jc w:val="both"/>
        <w:rPr>
          <w:sz w:val="21"/>
          <w:szCs w:val="21"/>
          <w:lang w:val="fr-CA"/>
        </w:rPr>
      </w:pPr>
      <w:r w:rsidRPr="00111370">
        <w:rPr>
          <w:b/>
          <w:sz w:val="21"/>
          <w:szCs w:val="21"/>
          <w:lang w:val="fr-CA"/>
        </w:rPr>
        <w:tab/>
      </w:r>
      <w:r w:rsidRPr="00111370">
        <w:rPr>
          <w:sz w:val="21"/>
          <w:szCs w:val="21"/>
          <w:lang w:val="fr-CA"/>
        </w:rPr>
        <w:t>En plus des renseignements et documents requis en vertu de l’article 59, une demande de certificat d’autorisation visant l’abattage d’arbres totalisant plus de 100 cordes doit être également accompagnée des renseignements et documents techniques suivants : (1)</w:t>
      </w:r>
    </w:p>
    <w:p w:rsidR="004945C9" w:rsidRPr="00111370" w:rsidRDefault="004945C9" w:rsidP="004945C9">
      <w:pPr>
        <w:pStyle w:val="Sansinterligne"/>
        <w:ind w:left="1416" w:hanging="711"/>
        <w:jc w:val="both"/>
        <w:rPr>
          <w:sz w:val="21"/>
          <w:szCs w:val="21"/>
          <w:lang w:val="fr-CA"/>
        </w:rPr>
      </w:pPr>
    </w:p>
    <w:p w:rsidR="004945C9" w:rsidRPr="00111370" w:rsidRDefault="004945C9" w:rsidP="004945C9">
      <w:pPr>
        <w:pStyle w:val="Sansinterligne"/>
        <w:numPr>
          <w:ilvl w:val="0"/>
          <w:numId w:val="1"/>
        </w:numPr>
        <w:jc w:val="both"/>
        <w:rPr>
          <w:sz w:val="21"/>
          <w:szCs w:val="21"/>
          <w:lang w:val="fr-CA"/>
        </w:rPr>
      </w:pPr>
      <w:r w:rsidRPr="00111370">
        <w:rPr>
          <w:sz w:val="21"/>
          <w:szCs w:val="21"/>
          <w:lang w:val="fr-CA"/>
        </w:rPr>
        <w:t>Nom, adresse et numéro de téléphone de la personne exécutant les travaux;</w:t>
      </w:r>
    </w:p>
    <w:p w:rsidR="004945C9" w:rsidRPr="00111370" w:rsidRDefault="004945C9" w:rsidP="004945C9">
      <w:pPr>
        <w:pStyle w:val="Sansinterligne"/>
        <w:ind w:left="1770"/>
        <w:jc w:val="both"/>
        <w:rPr>
          <w:sz w:val="21"/>
          <w:szCs w:val="21"/>
          <w:lang w:val="fr-CA"/>
        </w:rPr>
      </w:pPr>
    </w:p>
    <w:p w:rsidR="004945C9" w:rsidRPr="00111370" w:rsidRDefault="004945C9" w:rsidP="004945C9">
      <w:pPr>
        <w:pStyle w:val="Sansinterligne"/>
        <w:numPr>
          <w:ilvl w:val="0"/>
          <w:numId w:val="1"/>
        </w:numPr>
        <w:jc w:val="both"/>
        <w:rPr>
          <w:sz w:val="21"/>
          <w:szCs w:val="21"/>
          <w:lang w:val="fr-CA"/>
        </w:rPr>
      </w:pPr>
      <w:r w:rsidRPr="00111370">
        <w:rPr>
          <w:sz w:val="21"/>
          <w:szCs w:val="21"/>
          <w:lang w:val="fr-CA"/>
        </w:rPr>
        <w:t>Carte localisant la propriété, un relevé des milieux humides, lacs et cours d’eau, la localisation de la coupe projetée;</w:t>
      </w:r>
    </w:p>
    <w:p w:rsidR="004945C9" w:rsidRPr="00111370" w:rsidRDefault="004945C9" w:rsidP="004945C9">
      <w:pPr>
        <w:pStyle w:val="Sansinterligne"/>
        <w:jc w:val="both"/>
        <w:rPr>
          <w:sz w:val="21"/>
          <w:szCs w:val="21"/>
          <w:lang w:val="fr-CA"/>
        </w:rPr>
      </w:pPr>
    </w:p>
    <w:p w:rsidR="004945C9" w:rsidRPr="00111370" w:rsidRDefault="004945C9" w:rsidP="004945C9">
      <w:pPr>
        <w:pStyle w:val="Sansinterligne"/>
        <w:numPr>
          <w:ilvl w:val="0"/>
          <w:numId w:val="1"/>
        </w:numPr>
        <w:jc w:val="both"/>
        <w:rPr>
          <w:sz w:val="21"/>
          <w:szCs w:val="21"/>
          <w:lang w:val="fr-CA"/>
        </w:rPr>
      </w:pPr>
      <w:r w:rsidRPr="00111370">
        <w:rPr>
          <w:sz w:val="21"/>
          <w:szCs w:val="21"/>
          <w:lang w:val="fr-CA"/>
        </w:rPr>
        <w:t>Description des travaux projetés (superficie, nombre de corde projeté);</w:t>
      </w:r>
    </w:p>
    <w:p w:rsidR="00111370" w:rsidRPr="00111370" w:rsidRDefault="00111370" w:rsidP="00111370">
      <w:pPr>
        <w:pStyle w:val="Sansinterligne"/>
        <w:jc w:val="both"/>
        <w:rPr>
          <w:sz w:val="21"/>
          <w:szCs w:val="21"/>
          <w:lang w:val="fr-CA"/>
        </w:rPr>
      </w:pPr>
    </w:p>
    <w:p w:rsidR="004945C9" w:rsidRPr="00111370" w:rsidRDefault="004945C9" w:rsidP="004945C9">
      <w:pPr>
        <w:pStyle w:val="Sansinterligne"/>
        <w:numPr>
          <w:ilvl w:val="0"/>
          <w:numId w:val="1"/>
        </w:numPr>
        <w:jc w:val="both"/>
        <w:rPr>
          <w:sz w:val="21"/>
          <w:szCs w:val="21"/>
          <w:lang w:val="fr-CA"/>
        </w:rPr>
      </w:pPr>
      <w:r w:rsidRPr="00111370">
        <w:rPr>
          <w:sz w:val="21"/>
          <w:szCs w:val="21"/>
          <w:lang w:val="fr-CA"/>
        </w:rPr>
        <w:t>Dates approximatives du début et de la fin des travaux;</w:t>
      </w:r>
    </w:p>
    <w:p w:rsidR="00111370" w:rsidRPr="00111370" w:rsidRDefault="00111370" w:rsidP="00111370">
      <w:pPr>
        <w:pStyle w:val="Sansinterligne"/>
        <w:jc w:val="both"/>
        <w:rPr>
          <w:sz w:val="21"/>
          <w:szCs w:val="21"/>
          <w:lang w:val="fr-CA"/>
        </w:rPr>
      </w:pPr>
    </w:p>
    <w:p w:rsidR="00111370" w:rsidRPr="00111370" w:rsidRDefault="00111370" w:rsidP="00111370">
      <w:pPr>
        <w:pStyle w:val="Sansinterligne"/>
        <w:jc w:val="both"/>
        <w:rPr>
          <w:b/>
          <w:sz w:val="21"/>
          <w:szCs w:val="21"/>
          <w:u w:val="single"/>
          <w:lang w:val="fr-CA"/>
        </w:rPr>
      </w:pPr>
      <w:r w:rsidRPr="00111370">
        <w:rPr>
          <w:b/>
          <w:sz w:val="21"/>
          <w:szCs w:val="21"/>
          <w:u w:val="single"/>
          <w:lang w:val="fr-CA"/>
        </w:rPr>
        <w:t>ARTICLE 6</w:t>
      </w:r>
    </w:p>
    <w:p w:rsidR="00111370" w:rsidRPr="00111370" w:rsidRDefault="00111370" w:rsidP="00111370">
      <w:pPr>
        <w:pStyle w:val="Sansinterligne"/>
        <w:jc w:val="both"/>
        <w:rPr>
          <w:b/>
          <w:sz w:val="21"/>
          <w:szCs w:val="21"/>
          <w:u w:val="single"/>
          <w:lang w:val="fr-CA"/>
        </w:rPr>
      </w:pPr>
    </w:p>
    <w:p w:rsidR="00111370" w:rsidRPr="00111370" w:rsidRDefault="00111370" w:rsidP="00111370">
      <w:pPr>
        <w:pStyle w:val="Sansinterligne"/>
        <w:jc w:val="both"/>
        <w:rPr>
          <w:sz w:val="21"/>
          <w:szCs w:val="21"/>
          <w:lang w:val="fr-CA"/>
        </w:rPr>
      </w:pPr>
      <w:r w:rsidRPr="00111370">
        <w:rPr>
          <w:sz w:val="21"/>
          <w:szCs w:val="21"/>
          <w:lang w:val="fr-CA"/>
        </w:rPr>
        <w:t>Le présent règlement entre en vigueur conformément à la Loi.</w:t>
      </w:r>
    </w:p>
    <w:p w:rsidR="00111370" w:rsidRDefault="00111370" w:rsidP="00111370">
      <w:pPr>
        <w:pStyle w:val="Sansinterligne"/>
        <w:jc w:val="both"/>
        <w:rPr>
          <w:sz w:val="21"/>
          <w:szCs w:val="21"/>
          <w:lang w:val="fr-CA"/>
        </w:rPr>
      </w:pPr>
    </w:p>
    <w:p w:rsidR="00BB103E" w:rsidRDefault="00BB103E" w:rsidP="00111370">
      <w:pPr>
        <w:pStyle w:val="Sansinterligne"/>
        <w:jc w:val="both"/>
        <w:rPr>
          <w:sz w:val="21"/>
          <w:szCs w:val="21"/>
          <w:lang w:val="fr-CA"/>
        </w:rPr>
      </w:pPr>
    </w:p>
    <w:p w:rsidR="00BB103E" w:rsidRDefault="00BB103E" w:rsidP="00111370">
      <w:pPr>
        <w:pStyle w:val="Sansinterligne"/>
        <w:jc w:val="both"/>
        <w:rPr>
          <w:sz w:val="21"/>
          <w:szCs w:val="21"/>
          <w:lang w:val="fr-CA"/>
        </w:rPr>
      </w:pPr>
    </w:p>
    <w:p w:rsidR="00BB103E" w:rsidRPr="00111370" w:rsidRDefault="00BB103E" w:rsidP="00111370">
      <w:pPr>
        <w:pStyle w:val="Sansinterligne"/>
        <w:jc w:val="both"/>
        <w:rPr>
          <w:sz w:val="21"/>
          <w:szCs w:val="21"/>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390"/>
      </w:tblGrid>
      <w:tr w:rsidR="00111370" w:rsidRPr="00BB103E" w:rsidTr="00111370">
        <w:tc>
          <w:tcPr>
            <w:tcW w:w="4390" w:type="dxa"/>
          </w:tcPr>
          <w:p w:rsidR="00111370" w:rsidRPr="00111370" w:rsidRDefault="00111370" w:rsidP="00111370">
            <w:pPr>
              <w:pStyle w:val="Sansinterligne"/>
              <w:jc w:val="both"/>
              <w:rPr>
                <w:sz w:val="21"/>
                <w:szCs w:val="21"/>
                <w:lang w:val="fr-CA"/>
              </w:rPr>
            </w:pPr>
            <w:r w:rsidRPr="00111370">
              <w:rPr>
                <w:sz w:val="21"/>
                <w:szCs w:val="21"/>
                <w:lang w:val="fr-CA"/>
              </w:rPr>
              <w:t>________________________</w:t>
            </w:r>
          </w:p>
          <w:p w:rsidR="00111370" w:rsidRPr="00111370" w:rsidRDefault="00111370" w:rsidP="00111370">
            <w:pPr>
              <w:pStyle w:val="Sansinterligne"/>
              <w:jc w:val="both"/>
              <w:rPr>
                <w:sz w:val="21"/>
                <w:szCs w:val="21"/>
                <w:lang w:val="fr-CA"/>
              </w:rPr>
            </w:pPr>
            <w:r w:rsidRPr="00111370">
              <w:rPr>
                <w:sz w:val="21"/>
                <w:szCs w:val="21"/>
                <w:lang w:val="fr-CA"/>
              </w:rPr>
              <w:t>Tom Arnold</w:t>
            </w:r>
          </w:p>
          <w:p w:rsidR="00111370" w:rsidRPr="00111370" w:rsidRDefault="00111370" w:rsidP="00111370">
            <w:pPr>
              <w:pStyle w:val="Sansinterligne"/>
              <w:jc w:val="both"/>
              <w:rPr>
                <w:sz w:val="21"/>
                <w:szCs w:val="21"/>
                <w:lang w:val="fr-CA"/>
              </w:rPr>
            </w:pPr>
            <w:r w:rsidRPr="00111370">
              <w:rPr>
                <w:sz w:val="21"/>
                <w:szCs w:val="21"/>
                <w:lang w:val="fr-CA"/>
              </w:rPr>
              <w:t>Maire</w:t>
            </w:r>
          </w:p>
        </w:tc>
        <w:tc>
          <w:tcPr>
            <w:tcW w:w="4390" w:type="dxa"/>
          </w:tcPr>
          <w:p w:rsidR="00111370" w:rsidRPr="00111370" w:rsidRDefault="00111370" w:rsidP="00111370">
            <w:pPr>
              <w:pStyle w:val="Sansinterligne"/>
              <w:jc w:val="both"/>
              <w:rPr>
                <w:sz w:val="21"/>
                <w:szCs w:val="21"/>
                <w:lang w:val="fr-CA"/>
              </w:rPr>
            </w:pPr>
            <w:r w:rsidRPr="00111370">
              <w:rPr>
                <w:sz w:val="21"/>
                <w:szCs w:val="21"/>
                <w:lang w:val="fr-CA"/>
              </w:rPr>
              <w:t>________________________</w:t>
            </w:r>
          </w:p>
          <w:p w:rsidR="00111370" w:rsidRPr="00111370" w:rsidRDefault="00111370" w:rsidP="00111370">
            <w:pPr>
              <w:pStyle w:val="Sansinterligne"/>
              <w:jc w:val="both"/>
              <w:rPr>
                <w:sz w:val="21"/>
                <w:szCs w:val="21"/>
                <w:lang w:val="fr-CA"/>
              </w:rPr>
            </w:pPr>
            <w:r w:rsidRPr="00111370">
              <w:rPr>
                <w:sz w:val="21"/>
                <w:szCs w:val="21"/>
                <w:lang w:val="fr-CA"/>
              </w:rPr>
              <w:t>Me Chloé Gagnon</w:t>
            </w:r>
          </w:p>
          <w:p w:rsidR="00111370" w:rsidRPr="00111370" w:rsidRDefault="00111370" w:rsidP="00111370">
            <w:pPr>
              <w:pStyle w:val="Sansinterligne"/>
              <w:jc w:val="both"/>
              <w:rPr>
                <w:sz w:val="21"/>
                <w:szCs w:val="21"/>
                <w:lang w:val="fr-CA"/>
              </w:rPr>
            </w:pPr>
            <w:r w:rsidRPr="00111370">
              <w:rPr>
                <w:sz w:val="21"/>
                <w:szCs w:val="21"/>
                <w:lang w:val="fr-CA"/>
              </w:rPr>
              <w:t>Secrétaire-trésorière</w:t>
            </w:r>
          </w:p>
        </w:tc>
      </w:tr>
    </w:tbl>
    <w:p w:rsidR="00111370" w:rsidRDefault="00111370" w:rsidP="00111370">
      <w:pPr>
        <w:pStyle w:val="Sansinterligne"/>
        <w:jc w:val="both"/>
        <w:rPr>
          <w:sz w:val="21"/>
          <w:szCs w:val="21"/>
          <w:lang w:val="fr-CA"/>
        </w:rPr>
      </w:pPr>
    </w:p>
    <w:p w:rsidR="00BB103E" w:rsidRDefault="00BB103E" w:rsidP="00111370">
      <w:pPr>
        <w:pStyle w:val="Sansinterligne"/>
        <w:jc w:val="both"/>
        <w:rPr>
          <w:sz w:val="21"/>
          <w:szCs w:val="21"/>
          <w:lang w:val="fr-CA"/>
        </w:rPr>
      </w:pPr>
    </w:p>
    <w:p w:rsidR="00BB103E" w:rsidRPr="00111370" w:rsidRDefault="00BB103E" w:rsidP="00111370">
      <w:pPr>
        <w:pStyle w:val="Sansinterligne"/>
        <w:jc w:val="both"/>
        <w:rPr>
          <w:sz w:val="21"/>
          <w:szCs w:val="21"/>
          <w:lang w:val="fr-CA"/>
        </w:rPr>
      </w:pPr>
      <w:bookmarkStart w:id="0" w:name="_GoBack"/>
      <w:bookmarkEnd w:id="0"/>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5837"/>
      </w:tblGrid>
      <w:tr w:rsidR="00111370" w:rsidRPr="00111370" w:rsidTr="00111370">
        <w:tc>
          <w:tcPr>
            <w:tcW w:w="2943" w:type="dxa"/>
          </w:tcPr>
          <w:p w:rsidR="00111370" w:rsidRPr="00111370" w:rsidRDefault="00111370" w:rsidP="00111370">
            <w:pPr>
              <w:pStyle w:val="Sansinterligne"/>
              <w:jc w:val="both"/>
              <w:rPr>
                <w:sz w:val="21"/>
                <w:szCs w:val="21"/>
                <w:lang w:val="fr-CA"/>
              </w:rPr>
            </w:pPr>
            <w:r w:rsidRPr="00111370">
              <w:rPr>
                <w:sz w:val="21"/>
                <w:szCs w:val="21"/>
                <w:lang w:val="fr-CA"/>
              </w:rPr>
              <w:t>Avis de motion :</w:t>
            </w:r>
          </w:p>
        </w:tc>
        <w:tc>
          <w:tcPr>
            <w:tcW w:w="5837" w:type="dxa"/>
          </w:tcPr>
          <w:p w:rsidR="00111370" w:rsidRPr="00111370" w:rsidRDefault="00111370" w:rsidP="00111370">
            <w:pPr>
              <w:pStyle w:val="Sansinterligne"/>
              <w:jc w:val="both"/>
              <w:rPr>
                <w:sz w:val="21"/>
                <w:szCs w:val="21"/>
                <w:lang w:val="fr-CA"/>
              </w:rPr>
            </w:pPr>
            <w:r w:rsidRPr="00111370">
              <w:rPr>
                <w:sz w:val="21"/>
                <w:szCs w:val="21"/>
                <w:lang w:val="fr-CA"/>
              </w:rPr>
              <w:t>Le 10 avril 2018</w:t>
            </w:r>
          </w:p>
        </w:tc>
      </w:tr>
      <w:tr w:rsidR="00111370" w:rsidRPr="00111370" w:rsidTr="00111370">
        <w:tc>
          <w:tcPr>
            <w:tcW w:w="2943" w:type="dxa"/>
          </w:tcPr>
          <w:p w:rsidR="00111370" w:rsidRPr="00111370" w:rsidRDefault="00111370" w:rsidP="00111370">
            <w:pPr>
              <w:pStyle w:val="Sansinterligne"/>
              <w:jc w:val="both"/>
              <w:rPr>
                <w:sz w:val="21"/>
                <w:szCs w:val="21"/>
                <w:lang w:val="fr-CA"/>
              </w:rPr>
            </w:pPr>
            <w:r w:rsidRPr="00111370">
              <w:rPr>
                <w:sz w:val="21"/>
                <w:szCs w:val="21"/>
                <w:lang w:val="fr-CA"/>
              </w:rPr>
              <w:t>Adopté :</w:t>
            </w:r>
          </w:p>
        </w:tc>
        <w:tc>
          <w:tcPr>
            <w:tcW w:w="5837" w:type="dxa"/>
          </w:tcPr>
          <w:p w:rsidR="00111370" w:rsidRPr="00111370" w:rsidRDefault="00111370" w:rsidP="00111370">
            <w:pPr>
              <w:pStyle w:val="Sansinterligne"/>
              <w:jc w:val="both"/>
              <w:rPr>
                <w:sz w:val="21"/>
                <w:szCs w:val="21"/>
                <w:lang w:val="fr-CA"/>
              </w:rPr>
            </w:pPr>
            <w:r w:rsidRPr="00111370">
              <w:rPr>
                <w:sz w:val="21"/>
                <w:szCs w:val="21"/>
                <w:lang w:val="fr-CA"/>
              </w:rPr>
              <w:t>Le 8 mai 2018</w:t>
            </w:r>
          </w:p>
        </w:tc>
      </w:tr>
      <w:tr w:rsidR="00111370" w:rsidRPr="00111370" w:rsidTr="00111370">
        <w:tc>
          <w:tcPr>
            <w:tcW w:w="2943" w:type="dxa"/>
          </w:tcPr>
          <w:p w:rsidR="00111370" w:rsidRPr="00111370" w:rsidRDefault="00111370" w:rsidP="00111370">
            <w:pPr>
              <w:pStyle w:val="Sansinterligne"/>
              <w:jc w:val="both"/>
              <w:rPr>
                <w:sz w:val="21"/>
                <w:szCs w:val="21"/>
                <w:lang w:val="fr-CA"/>
              </w:rPr>
            </w:pPr>
            <w:r w:rsidRPr="00111370">
              <w:rPr>
                <w:sz w:val="21"/>
                <w:szCs w:val="21"/>
                <w:lang w:val="fr-CA"/>
              </w:rPr>
              <w:t>Avis de publication :</w:t>
            </w:r>
          </w:p>
        </w:tc>
        <w:tc>
          <w:tcPr>
            <w:tcW w:w="5837" w:type="dxa"/>
          </w:tcPr>
          <w:p w:rsidR="00111370" w:rsidRPr="00111370" w:rsidRDefault="00111370" w:rsidP="00111370">
            <w:pPr>
              <w:pStyle w:val="Sansinterligne"/>
              <w:jc w:val="both"/>
              <w:rPr>
                <w:sz w:val="21"/>
                <w:szCs w:val="21"/>
                <w:lang w:val="fr-CA"/>
              </w:rPr>
            </w:pPr>
          </w:p>
        </w:tc>
      </w:tr>
      <w:tr w:rsidR="00111370" w:rsidRPr="00111370" w:rsidTr="00111370">
        <w:tc>
          <w:tcPr>
            <w:tcW w:w="2943" w:type="dxa"/>
          </w:tcPr>
          <w:p w:rsidR="00111370" w:rsidRPr="00111370" w:rsidRDefault="00111370" w:rsidP="00111370">
            <w:pPr>
              <w:pStyle w:val="Sansinterligne"/>
              <w:jc w:val="both"/>
              <w:rPr>
                <w:sz w:val="21"/>
                <w:szCs w:val="21"/>
                <w:lang w:val="fr-CA"/>
              </w:rPr>
            </w:pPr>
          </w:p>
        </w:tc>
        <w:tc>
          <w:tcPr>
            <w:tcW w:w="5837" w:type="dxa"/>
          </w:tcPr>
          <w:p w:rsidR="00111370" w:rsidRPr="00111370" w:rsidRDefault="00111370" w:rsidP="00111370">
            <w:pPr>
              <w:pStyle w:val="Sansinterligne"/>
              <w:jc w:val="both"/>
              <w:rPr>
                <w:sz w:val="21"/>
                <w:szCs w:val="21"/>
                <w:lang w:val="fr-CA"/>
              </w:rPr>
            </w:pPr>
          </w:p>
        </w:tc>
      </w:tr>
    </w:tbl>
    <w:p w:rsidR="00111370" w:rsidRPr="00111370" w:rsidRDefault="00111370" w:rsidP="00111370">
      <w:pPr>
        <w:pStyle w:val="Sansinterligne"/>
        <w:jc w:val="both"/>
        <w:rPr>
          <w:lang w:val="fr-CA"/>
        </w:rPr>
      </w:pPr>
    </w:p>
    <w:sectPr w:rsidR="00111370" w:rsidRPr="00111370" w:rsidSect="00111370">
      <w:headerReference w:type="default" r:id="rId9"/>
      <w:pgSz w:w="12240" w:h="20160" w:code="5"/>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370" w:rsidRDefault="00111370" w:rsidP="00111370">
      <w:pPr>
        <w:spacing w:after="0" w:line="240" w:lineRule="auto"/>
      </w:pPr>
      <w:r>
        <w:separator/>
      </w:r>
    </w:p>
  </w:endnote>
  <w:endnote w:type="continuationSeparator" w:id="0">
    <w:p w:rsidR="00111370" w:rsidRDefault="00111370" w:rsidP="00111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370" w:rsidRDefault="00111370" w:rsidP="00111370">
      <w:pPr>
        <w:spacing w:after="0" w:line="240" w:lineRule="auto"/>
      </w:pPr>
      <w:r>
        <w:separator/>
      </w:r>
    </w:p>
  </w:footnote>
  <w:footnote w:type="continuationSeparator" w:id="0">
    <w:p w:rsidR="00111370" w:rsidRDefault="00111370" w:rsidP="00111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fr-FR"/>
      </w:rPr>
      <w:id w:val="807438298"/>
      <w:docPartObj>
        <w:docPartGallery w:val="Page Numbers (Top of Page)"/>
        <w:docPartUnique/>
      </w:docPartObj>
    </w:sdtPr>
    <w:sdtEndPr>
      <w:rPr>
        <w:b/>
        <w:bCs/>
        <w:sz w:val="20"/>
        <w:szCs w:val="20"/>
        <w:lang w:val="en-CA"/>
      </w:rPr>
    </w:sdtEndPr>
    <w:sdtContent>
      <w:p w:rsidR="00111370" w:rsidRPr="00111370" w:rsidRDefault="00111370" w:rsidP="00111370">
        <w:pPr>
          <w:pStyle w:val="Sansinterligne"/>
          <w:jc w:val="right"/>
          <w:rPr>
            <w:b/>
            <w:sz w:val="20"/>
            <w:szCs w:val="20"/>
            <w:lang w:val="fr-FR"/>
          </w:rPr>
        </w:pPr>
        <w:r w:rsidRPr="00111370">
          <w:rPr>
            <w:b/>
            <w:sz w:val="20"/>
            <w:szCs w:val="20"/>
            <w:lang w:val="fr-FR"/>
          </w:rPr>
          <w:t>Règlement amendant le règlement RU-901-2014</w:t>
        </w:r>
      </w:p>
      <w:p w:rsidR="00111370" w:rsidRPr="00111370" w:rsidRDefault="00111370" w:rsidP="00111370">
        <w:pPr>
          <w:pStyle w:val="Sansinterligne"/>
          <w:jc w:val="right"/>
          <w:rPr>
            <w:b/>
            <w:sz w:val="20"/>
            <w:szCs w:val="20"/>
            <w:lang w:val="fr-FR"/>
          </w:rPr>
        </w:pPr>
        <w:r w:rsidRPr="00111370">
          <w:rPr>
            <w:b/>
            <w:sz w:val="20"/>
            <w:szCs w:val="20"/>
            <w:lang w:val="fr-FR"/>
          </w:rPr>
          <w:t>Sur l’administration des règlements d’urbanisme</w:t>
        </w:r>
      </w:p>
      <w:p w:rsidR="00111370" w:rsidRPr="00111370" w:rsidRDefault="00111370" w:rsidP="00111370">
        <w:pPr>
          <w:pStyle w:val="Sansinterligne"/>
          <w:jc w:val="right"/>
          <w:rPr>
            <w:b/>
            <w:sz w:val="20"/>
            <w:szCs w:val="20"/>
            <w:lang w:val="fr-FR"/>
          </w:rPr>
        </w:pPr>
      </w:p>
      <w:p w:rsidR="00111370" w:rsidRPr="00BB103E" w:rsidRDefault="00111370" w:rsidP="00111370">
        <w:pPr>
          <w:pStyle w:val="Sansinterligne"/>
          <w:pBdr>
            <w:bottom w:val="single" w:sz="4" w:space="1" w:color="auto"/>
          </w:pBdr>
          <w:jc w:val="right"/>
          <w:rPr>
            <w:b/>
            <w:bCs/>
            <w:sz w:val="20"/>
            <w:szCs w:val="20"/>
            <w:lang w:val="fr-CA"/>
          </w:rPr>
        </w:pPr>
        <w:r w:rsidRPr="00111370">
          <w:rPr>
            <w:b/>
            <w:sz w:val="20"/>
            <w:szCs w:val="20"/>
            <w:lang w:val="fr-FR"/>
          </w:rPr>
          <w:t xml:space="preserve">Page | </w:t>
        </w:r>
        <w:r w:rsidRPr="00111370">
          <w:rPr>
            <w:b/>
            <w:sz w:val="20"/>
            <w:szCs w:val="20"/>
          </w:rPr>
          <w:fldChar w:fldCharType="begin"/>
        </w:r>
        <w:r w:rsidRPr="00BB103E">
          <w:rPr>
            <w:b/>
            <w:sz w:val="20"/>
            <w:szCs w:val="20"/>
            <w:lang w:val="fr-CA"/>
          </w:rPr>
          <w:instrText>PAGE   \* MERGEFORMAT</w:instrText>
        </w:r>
        <w:r w:rsidRPr="00111370">
          <w:rPr>
            <w:b/>
            <w:sz w:val="20"/>
            <w:szCs w:val="20"/>
          </w:rPr>
          <w:fldChar w:fldCharType="separate"/>
        </w:r>
        <w:r w:rsidR="00BB103E" w:rsidRPr="00BB103E">
          <w:rPr>
            <w:b/>
            <w:bCs/>
            <w:noProof/>
            <w:sz w:val="20"/>
            <w:szCs w:val="20"/>
            <w:lang w:val="fr-FR"/>
          </w:rPr>
          <w:t>2</w:t>
        </w:r>
        <w:r w:rsidRPr="00111370">
          <w:rPr>
            <w:b/>
            <w:bCs/>
            <w:sz w:val="20"/>
            <w:szCs w:val="20"/>
          </w:rPr>
          <w:fldChar w:fldCharType="end"/>
        </w:r>
      </w:p>
    </w:sdtContent>
  </w:sdt>
  <w:p w:rsidR="00111370" w:rsidRPr="00111370" w:rsidRDefault="00111370">
    <w:pPr>
      <w:pStyle w:val="En-tte"/>
      <w:rPr>
        <w:sz w:val="20"/>
        <w:szCs w:val="20"/>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270D8"/>
    <w:multiLevelType w:val="hybridMultilevel"/>
    <w:tmpl w:val="72800414"/>
    <w:lvl w:ilvl="0" w:tplc="0C0C0001">
      <w:start w:val="1"/>
      <w:numFmt w:val="bullet"/>
      <w:lvlText w:val=""/>
      <w:lvlJc w:val="left"/>
      <w:pPr>
        <w:ind w:left="1770" w:hanging="360"/>
      </w:pPr>
      <w:rPr>
        <w:rFonts w:ascii="Symbol" w:hAnsi="Symbol" w:hint="default"/>
      </w:rPr>
    </w:lvl>
    <w:lvl w:ilvl="1" w:tplc="0C0C0003" w:tentative="1">
      <w:start w:val="1"/>
      <w:numFmt w:val="bullet"/>
      <w:lvlText w:val="o"/>
      <w:lvlJc w:val="left"/>
      <w:pPr>
        <w:ind w:left="2490" w:hanging="360"/>
      </w:pPr>
      <w:rPr>
        <w:rFonts w:ascii="Courier New" w:hAnsi="Courier New" w:cs="Courier New" w:hint="default"/>
      </w:rPr>
    </w:lvl>
    <w:lvl w:ilvl="2" w:tplc="0C0C0005" w:tentative="1">
      <w:start w:val="1"/>
      <w:numFmt w:val="bullet"/>
      <w:lvlText w:val=""/>
      <w:lvlJc w:val="left"/>
      <w:pPr>
        <w:ind w:left="3210" w:hanging="360"/>
      </w:pPr>
      <w:rPr>
        <w:rFonts w:ascii="Wingdings" w:hAnsi="Wingdings" w:hint="default"/>
      </w:rPr>
    </w:lvl>
    <w:lvl w:ilvl="3" w:tplc="0C0C0001" w:tentative="1">
      <w:start w:val="1"/>
      <w:numFmt w:val="bullet"/>
      <w:lvlText w:val=""/>
      <w:lvlJc w:val="left"/>
      <w:pPr>
        <w:ind w:left="3930" w:hanging="360"/>
      </w:pPr>
      <w:rPr>
        <w:rFonts w:ascii="Symbol" w:hAnsi="Symbol" w:hint="default"/>
      </w:rPr>
    </w:lvl>
    <w:lvl w:ilvl="4" w:tplc="0C0C0003" w:tentative="1">
      <w:start w:val="1"/>
      <w:numFmt w:val="bullet"/>
      <w:lvlText w:val="o"/>
      <w:lvlJc w:val="left"/>
      <w:pPr>
        <w:ind w:left="4650" w:hanging="360"/>
      </w:pPr>
      <w:rPr>
        <w:rFonts w:ascii="Courier New" w:hAnsi="Courier New" w:cs="Courier New" w:hint="default"/>
      </w:rPr>
    </w:lvl>
    <w:lvl w:ilvl="5" w:tplc="0C0C0005" w:tentative="1">
      <w:start w:val="1"/>
      <w:numFmt w:val="bullet"/>
      <w:lvlText w:val=""/>
      <w:lvlJc w:val="left"/>
      <w:pPr>
        <w:ind w:left="5370" w:hanging="360"/>
      </w:pPr>
      <w:rPr>
        <w:rFonts w:ascii="Wingdings" w:hAnsi="Wingdings" w:hint="default"/>
      </w:rPr>
    </w:lvl>
    <w:lvl w:ilvl="6" w:tplc="0C0C0001" w:tentative="1">
      <w:start w:val="1"/>
      <w:numFmt w:val="bullet"/>
      <w:lvlText w:val=""/>
      <w:lvlJc w:val="left"/>
      <w:pPr>
        <w:ind w:left="6090" w:hanging="360"/>
      </w:pPr>
      <w:rPr>
        <w:rFonts w:ascii="Symbol" w:hAnsi="Symbol" w:hint="default"/>
      </w:rPr>
    </w:lvl>
    <w:lvl w:ilvl="7" w:tplc="0C0C0003" w:tentative="1">
      <w:start w:val="1"/>
      <w:numFmt w:val="bullet"/>
      <w:lvlText w:val="o"/>
      <w:lvlJc w:val="left"/>
      <w:pPr>
        <w:ind w:left="6810" w:hanging="360"/>
      </w:pPr>
      <w:rPr>
        <w:rFonts w:ascii="Courier New" w:hAnsi="Courier New" w:cs="Courier New" w:hint="default"/>
      </w:rPr>
    </w:lvl>
    <w:lvl w:ilvl="8" w:tplc="0C0C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C9"/>
    <w:rsid w:val="00111370"/>
    <w:rsid w:val="004945C9"/>
    <w:rsid w:val="008D4E7E"/>
    <w:rsid w:val="00BB103E"/>
    <w:rsid w:val="00D24E3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945C9"/>
    <w:pPr>
      <w:spacing w:after="0" w:line="240" w:lineRule="auto"/>
    </w:pPr>
    <w:rPr>
      <w:lang w:val="en-CA"/>
    </w:rPr>
  </w:style>
  <w:style w:type="paragraph" w:styleId="Paragraphedeliste">
    <w:name w:val="List Paragraph"/>
    <w:basedOn w:val="Normal"/>
    <w:uiPriority w:val="34"/>
    <w:qFormat/>
    <w:rsid w:val="004945C9"/>
    <w:pPr>
      <w:ind w:left="720"/>
      <w:contextualSpacing/>
    </w:pPr>
  </w:style>
  <w:style w:type="table" w:styleId="Grilledutableau">
    <w:name w:val="Table Grid"/>
    <w:basedOn w:val="TableauNormal"/>
    <w:uiPriority w:val="59"/>
    <w:rsid w:val="00111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1137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11370"/>
    <w:rPr>
      <w:sz w:val="20"/>
      <w:szCs w:val="20"/>
      <w:lang w:val="en-CA"/>
    </w:rPr>
  </w:style>
  <w:style w:type="character" w:styleId="Appelnotedebasdep">
    <w:name w:val="footnote reference"/>
    <w:basedOn w:val="Policepardfaut"/>
    <w:uiPriority w:val="99"/>
    <w:semiHidden/>
    <w:unhideWhenUsed/>
    <w:rsid w:val="00111370"/>
    <w:rPr>
      <w:vertAlign w:val="superscript"/>
    </w:rPr>
  </w:style>
  <w:style w:type="paragraph" w:styleId="En-tte">
    <w:name w:val="header"/>
    <w:basedOn w:val="Normal"/>
    <w:link w:val="En-tteCar"/>
    <w:uiPriority w:val="99"/>
    <w:unhideWhenUsed/>
    <w:rsid w:val="00111370"/>
    <w:pPr>
      <w:tabs>
        <w:tab w:val="center" w:pos="4320"/>
        <w:tab w:val="right" w:pos="8640"/>
      </w:tabs>
      <w:spacing w:after="0" w:line="240" w:lineRule="auto"/>
    </w:pPr>
  </w:style>
  <w:style w:type="character" w:customStyle="1" w:styleId="En-tteCar">
    <w:name w:val="En-tête Car"/>
    <w:basedOn w:val="Policepardfaut"/>
    <w:link w:val="En-tte"/>
    <w:uiPriority w:val="99"/>
    <w:rsid w:val="00111370"/>
    <w:rPr>
      <w:lang w:val="en-CA"/>
    </w:rPr>
  </w:style>
  <w:style w:type="paragraph" w:styleId="Pieddepage">
    <w:name w:val="footer"/>
    <w:basedOn w:val="Normal"/>
    <w:link w:val="PieddepageCar"/>
    <w:uiPriority w:val="99"/>
    <w:unhideWhenUsed/>
    <w:rsid w:val="0011137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11370"/>
    <w:rPr>
      <w:lang w:val="en-CA"/>
    </w:rPr>
  </w:style>
  <w:style w:type="paragraph" w:styleId="Textedebulles">
    <w:name w:val="Balloon Text"/>
    <w:basedOn w:val="Normal"/>
    <w:link w:val="TextedebullesCar"/>
    <w:uiPriority w:val="99"/>
    <w:semiHidden/>
    <w:unhideWhenUsed/>
    <w:rsid w:val="001113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1370"/>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945C9"/>
    <w:pPr>
      <w:spacing w:after="0" w:line="240" w:lineRule="auto"/>
    </w:pPr>
    <w:rPr>
      <w:lang w:val="en-CA"/>
    </w:rPr>
  </w:style>
  <w:style w:type="paragraph" w:styleId="Paragraphedeliste">
    <w:name w:val="List Paragraph"/>
    <w:basedOn w:val="Normal"/>
    <w:uiPriority w:val="34"/>
    <w:qFormat/>
    <w:rsid w:val="004945C9"/>
    <w:pPr>
      <w:ind w:left="720"/>
      <w:contextualSpacing/>
    </w:pPr>
  </w:style>
  <w:style w:type="table" w:styleId="Grilledutableau">
    <w:name w:val="Table Grid"/>
    <w:basedOn w:val="TableauNormal"/>
    <w:uiPriority w:val="59"/>
    <w:rsid w:val="00111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1137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11370"/>
    <w:rPr>
      <w:sz w:val="20"/>
      <w:szCs w:val="20"/>
      <w:lang w:val="en-CA"/>
    </w:rPr>
  </w:style>
  <w:style w:type="character" w:styleId="Appelnotedebasdep">
    <w:name w:val="footnote reference"/>
    <w:basedOn w:val="Policepardfaut"/>
    <w:uiPriority w:val="99"/>
    <w:semiHidden/>
    <w:unhideWhenUsed/>
    <w:rsid w:val="00111370"/>
    <w:rPr>
      <w:vertAlign w:val="superscript"/>
    </w:rPr>
  </w:style>
  <w:style w:type="paragraph" w:styleId="En-tte">
    <w:name w:val="header"/>
    <w:basedOn w:val="Normal"/>
    <w:link w:val="En-tteCar"/>
    <w:uiPriority w:val="99"/>
    <w:unhideWhenUsed/>
    <w:rsid w:val="00111370"/>
    <w:pPr>
      <w:tabs>
        <w:tab w:val="center" w:pos="4320"/>
        <w:tab w:val="right" w:pos="8640"/>
      </w:tabs>
      <w:spacing w:after="0" w:line="240" w:lineRule="auto"/>
    </w:pPr>
  </w:style>
  <w:style w:type="character" w:customStyle="1" w:styleId="En-tteCar">
    <w:name w:val="En-tête Car"/>
    <w:basedOn w:val="Policepardfaut"/>
    <w:link w:val="En-tte"/>
    <w:uiPriority w:val="99"/>
    <w:rsid w:val="00111370"/>
    <w:rPr>
      <w:lang w:val="en-CA"/>
    </w:rPr>
  </w:style>
  <w:style w:type="paragraph" w:styleId="Pieddepage">
    <w:name w:val="footer"/>
    <w:basedOn w:val="Normal"/>
    <w:link w:val="PieddepageCar"/>
    <w:uiPriority w:val="99"/>
    <w:unhideWhenUsed/>
    <w:rsid w:val="0011137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11370"/>
    <w:rPr>
      <w:lang w:val="en-CA"/>
    </w:rPr>
  </w:style>
  <w:style w:type="paragraph" w:styleId="Textedebulles">
    <w:name w:val="Balloon Text"/>
    <w:basedOn w:val="Normal"/>
    <w:link w:val="TextedebullesCar"/>
    <w:uiPriority w:val="99"/>
    <w:semiHidden/>
    <w:unhideWhenUsed/>
    <w:rsid w:val="001113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1370"/>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2C4E3-3E7F-4EB9-B19A-E69361CDD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559</Words>
  <Characters>3075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Chloé Gagnon</dc:creator>
  <cp:lastModifiedBy>Chloé Gagnon</cp:lastModifiedBy>
  <cp:revision>2</cp:revision>
  <dcterms:created xsi:type="dcterms:W3CDTF">2018-05-10T14:47:00Z</dcterms:created>
  <dcterms:modified xsi:type="dcterms:W3CDTF">2018-05-11T14:10:00Z</dcterms:modified>
</cp:coreProperties>
</file>